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36"/>
          <w:szCs w:val="36"/>
          <w:b w:val="1"/>
          <w:bCs w:val="1"/>
        </w:rPr>
        <w:t xml:space="preserve">Муниципальное общеобразовательное учреждение «Средняя общеобразовательная школа № 91» (Модели наставничества в образовательной организации)</w:t>
      </w:r>
    </w:p>
    <w:p>
      <w:pPr>
        <w:jc w:val="center"/>
      </w:pPr>
      <w:r>
        <w:rPr>
          <w:sz w:val="32"/>
          <w:szCs w:val="32"/>
          <w:u w:val="single"/>
        </w:rPr>
        <w:t xml:space="preserve">Образовательная организация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Сведения об образовательной организации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Полное наименование в соответствии с Уставом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№ 91»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Сокращённое наименование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МОУ 'СОШ №91'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Муниципальное образование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Котлас (Городской округ)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Юридический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165340, Россия, Архангельская область, город Котлас, пгт. Вычегодский, ул. Ленина, 39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Фактический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165340, Россия, Архангельская область, город Котлас, пгт. Вычегодский, ул. Ленина, 39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руководителя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Кириллов Денис Сергеевич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координатора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Ручковская Наталья Николаевна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Контактный телефон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881837 - 3-64-94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Сайт образовательной организации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http://www.mouschool91.edusite.ru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Адрес электронной почты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mouschool91@mail.ru</w:t>
            </w:r>
          </w:p>
        </w:tc>
      </w:tr>
    </w:tbl>
    <w:p/>
    <w:p>
      <w:pPr>
        <w:jc w:val="center"/>
      </w:pPr>
      <w:r>
        <w:rPr>
          <w:sz w:val="32"/>
          <w:szCs w:val="32"/>
          <w:u w:val="single"/>
        </w:rPr>
        <w:t xml:space="preserve">Проект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Общие сведения о проекте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Название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Модели наставничества в образовательной организации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Цель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Оказание помощи педагогам и  в их профессиональном становлении, приобретении профессиональных навыков выполнения должностных обязанностей, адаптации в новых условиях развития образовательной системы школы и обучающимся для максимально полного раскрытия потенциала личности, необходимого для успешной личной  самореализации в современных условиях.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Задачи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Подготовка педагогов и обучающихся к самостоятельной, осознанной и социально продуктивной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деятельности в современном мире.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Раскрытие личностного, творческого, профессионального потенциала каждого педагога и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обучающегося, поддержка формирования и реализации индивидуальной образовательной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траектории;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Создание психологически комфортной среды для развития и повышения квалификации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педагогов, увеличение числа закрепившихся в профессии педагогических кадров;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Основная идея (идеи)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Коллектив школы опытный, возрастной. Этот опыт необходимо использовать для формирования моделей наставничества "Учитель-учитель", "Учитель-ученик"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Обоснование значимости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Формирование открытого и эффективного сообщества вокруг образовательной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организации, способного на комплексную поддержку ее деятельности, в котором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выстроены доверительные и партнерские отношения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Описание реализации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1. Доработать положение о наставничестве в ОО, включить в него модель "Учитель-ученик" (январь 2025)
</w:t>
      </w:r>
    </w:p>
    <w:p>
      <w:pPr>
        <w:jc w:val="both"/>
        <w:spacing w:after="0"/>
      </w:pPr>
      <w:r>
        <w:rPr>
          <w:sz w:val="24"/>
          <w:szCs w:val="24"/>
        </w:rPr>
        <w:t xml:space="preserve">2. Провести в феврале 2025 года муниципальный семинар по теме "Наставничество в современной школе: практика и перспективы развития"
</w:t>
      </w:r>
    </w:p>
    <w:p>
      <w:pPr>
        <w:jc w:val="both"/>
        <w:spacing w:after="0"/>
      </w:pPr>
      <w:r>
        <w:rPr>
          <w:sz w:val="24"/>
          <w:szCs w:val="24"/>
        </w:rPr>
        <w:t xml:space="preserve">3. Организовать работу наставнических пар и групп (февраль 2025-май 2026)
</w:t>
      </w:r>
    </w:p>
    <w:p>
      <w:pPr>
        <w:jc w:val="both"/>
        <w:spacing w:after="0"/>
      </w:pPr>
      <w:r>
        <w:rPr>
          <w:sz w:val="24"/>
          <w:szCs w:val="24"/>
        </w:rPr>
        <w:t xml:space="preserve">4. Организовать прохождение курсовой подготовки по направлению "Наставничество" педагогами (в течение 2025 года)
</w:t>
      </w:r>
    </w:p>
    <w:p>
      <w:pPr>
        <w:jc w:val="both"/>
        <w:spacing w:after="0"/>
      </w:pPr>
      <w:r>
        <w:rPr>
          <w:sz w:val="24"/>
          <w:szCs w:val="24"/>
        </w:rPr>
        <w:t xml:space="preserve">5. Проведение педагогического совета "Анализ реализации моделей наставничества в ОО" (декабрь 2025)
</w:t>
      </w:r>
    </w:p>
    <w:p>
      <w:pPr>
        <w:jc w:val="both"/>
        <w:spacing w:after="0"/>
      </w:pPr>
      <w:r>
        <w:rPr>
          <w:sz w:val="24"/>
          <w:szCs w:val="24"/>
        </w:rPr>
        <w:t xml:space="preserve">6. Проведение муниципальной деловой игры "Наставничество- путь к успеху" (февраль 2026)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Исходные теоретические положения</w:t>
      </w:r>
    </w:p>
    <w:p>
      <w:pPr>
        <w:jc w:val="both"/>
        <w:spacing w:after="0"/>
      </w:pPr>
      <w:r>
        <w:rPr>
          <w:sz w:val="24"/>
          <w:szCs w:val="24"/>
        </w:rPr>
        <w:t xml:space="preserve">Наставничество – универсальная технология передачи опыта, знаний, формирования
</w:t>
      </w:r>
    </w:p>
    <w:p>
      <w:pPr>
        <w:jc w:val="both"/>
        <w:spacing w:after="0"/>
      </w:pPr>
      <w:r>
        <w:rPr>
          <w:sz w:val="24"/>
          <w:szCs w:val="24"/>
        </w:rPr>
        <w:t xml:space="preserve">навыков, компетенций, метакомпетенций и ценностей через неформальное
</w:t>
      </w:r>
    </w:p>
    <w:p>
      <w:pPr>
        <w:jc w:val="both"/>
        <w:spacing w:after="0"/>
      </w:pPr>
      <w:r>
        <w:rPr>
          <w:sz w:val="24"/>
          <w:szCs w:val="24"/>
        </w:rPr>
        <w:t xml:space="preserve">взаимообогащающее общение, основанное на доверии и партнерстве.
</w:t>
      </w:r>
    </w:p>
    <w:p>
      <w:pPr>
        <w:jc w:val="both"/>
        <w:spacing w:after="0"/>
      </w:pPr>
      <w:r>
        <w:rPr>
          <w:sz w:val="24"/>
          <w:szCs w:val="24"/>
        </w:rPr>
        <w:t xml:space="preserve">Форма наставничества – способ реализации целевой модели через организацию
</w:t>
      </w:r>
    </w:p>
    <w:p>
      <w:pPr>
        <w:jc w:val="both"/>
        <w:spacing w:after="0"/>
      </w:pPr>
      <w:r>
        <w:rPr>
          <w:sz w:val="24"/>
          <w:szCs w:val="24"/>
        </w:rPr>
        <w:t xml:space="preserve">работы наставнической пары или группы, участники которой находятся в заданной
</w:t>
      </w:r>
    </w:p>
    <w:p>
      <w:pPr>
        <w:jc w:val="both"/>
        <w:spacing w:after="0"/>
      </w:pPr>
      <w:r>
        <w:rPr>
          <w:sz w:val="24"/>
          <w:szCs w:val="24"/>
        </w:rPr>
        <w:t xml:space="preserve">обстоятельствами ролевой ситуации, определяемой основной деятельностью и позицией
</w:t>
      </w:r>
    </w:p>
    <w:p>
      <w:pPr>
        <w:jc w:val="both"/>
        <w:spacing w:after="0"/>
      </w:pPr>
      <w:r>
        <w:rPr>
          <w:sz w:val="24"/>
          <w:szCs w:val="24"/>
        </w:rPr>
        <w:t xml:space="preserve">участников.
</w:t>
      </w:r>
    </w:p>
    <w:p>
      <w:pPr>
        <w:jc w:val="both"/>
        <w:spacing w:after="0"/>
      </w:pPr>
      <w:r>
        <w:rPr>
          <w:sz w:val="24"/>
          <w:szCs w:val="24"/>
        </w:rPr>
        <w:t xml:space="preserve">Программа наставничества – комплекс мероприятий и формирующих их действий,
</w:t>
      </w:r>
    </w:p>
    <w:p>
      <w:pPr>
        <w:jc w:val="both"/>
        <w:spacing w:after="0"/>
      </w:pPr>
      <w:r>
        <w:rPr>
          <w:sz w:val="24"/>
          <w:szCs w:val="24"/>
        </w:rPr>
        <w:t xml:space="preserve">направленный на организацию взаимоотношений наставника и наставляемого в конкретных
</w:t>
      </w:r>
    </w:p>
    <w:p>
      <w:pPr>
        <w:jc w:val="both"/>
        <w:spacing w:after="0"/>
      </w:pPr>
      <w:r>
        <w:rPr>
          <w:sz w:val="24"/>
          <w:szCs w:val="24"/>
        </w:rPr>
        <w:t xml:space="preserve">формах для получения ожидаемых результатов.
</w:t>
      </w:r>
    </w:p>
    <w:p>
      <w:pPr>
        <w:jc w:val="both"/>
        <w:spacing w:after="0"/>
      </w:pPr>
      <w:r>
        <w:rPr>
          <w:sz w:val="24"/>
          <w:szCs w:val="24"/>
        </w:rPr>
        <w:t xml:space="preserve">Наставляемый – участник программы наставничества, который через
</w:t>
      </w:r>
    </w:p>
    <w:p>
      <w:pPr>
        <w:jc w:val="both"/>
        <w:spacing w:after="0"/>
      </w:pPr>
      <w:r>
        <w:rPr>
          <w:sz w:val="24"/>
          <w:szCs w:val="24"/>
        </w:rPr>
        <w:t xml:space="preserve">взаимодействие с наставником и при его помощи и поддержке решает конкретные жизненные,
</w:t>
      </w:r>
    </w:p>
    <w:p>
      <w:pPr>
        <w:jc w:val="both"/>
        <w:spacing w:after="0"/>
      </w:pPr>
      <w:r>
        <w:rPr>
          <w:sz w:val="24"/>
          <w:szCs w:val="24"/>
        </w:rPr>
        <w:t xml:space="preserve">личные и профессиональные задачи, приобретает новый опыт и развивает новые навыки
</w:t>
      </w:r>
    </w:p>
    <w:p>
      <w:pPr>
        <w:jc w:val="both"/>
        <w:spacing w:after="0"/>
      </w:pPr>
      <w:r>
        <w:rPr>
          <w:sz w:val="24"/>
          <w:szCs w:val="24"/>
        </w:rPr>
        <w:t xml:space="preserve">и компетенции. В конкретных формах наставляемый может быть определен термином
</w:t>
      </w:r>
    </w:p>
    <w:p>
      <w:pPr>
        <w:jc w:val="both"/>
        <w:spacing w:after="0"/>
      </w:pPr>
      <w:r>
        <w:rPr>
          <w:sz w:val="24"/>
          <w:szCs w:val="24"/>
        </w:rPr>
        <w:t xml:space="preserve">«обучающийся».
</w:t>
      </w:r>
    </w:p>
    <w:p>
      <w:pPr>
        <w:jc w:val="both"/>
        <w:spacing w:after="0"/>
      </w:pPr>
      <w:r>
        <w:rPr>
          <w:sz w:val="24"/>
          <w:szCs w:val="24"/>
        </w:rPr>
        <w:t xml:space="preserve">Наставник – участник программы наставничества, имеющий успешный опыт в
</w:t>
      </w:r>
    </w:p>
    <w:p>
      <w:pPr>
        <w:jc w:val="both"/>
        <w:spacing w:after="0"/>
      </w:pPr>
      <w:r>
        <w:rPr>
          <w:sz w:val="24"/>
          <w:szCs w:val="24"/>
        </w:rPr>
        <w:t xml:space="preserve">достижении жизненного, личностного и профессионального результата, готовый и
</w:t>
      </w:r>
    </w:p>
    <w:p>
      <w:pPr>
        <w:jc w:val="both"/>
        <w:spacing w:after="0"/>
      </w:pPr>
      <w:r>
        <w:rPr>
          <w:sz w:val="24"/>
          <w:szCs w:val="24"/>
        </w:rPr>
        <w:t xml:space="preserve">компетентный поделиться опытом и навыками, необходимыми для стимуляции и поддержки
</w:t>
      </w:r>
    </w:p>
    <w:p>
      <w:pPr>
        <w:jc w:val="both"/>
        <w:spacing w:after="0"/>
      </w:pPr>
      <w:r>
        <w:rPr>
          <w:sz w:val="24"/>
          <w:szCs w:val="24"/>
        </w:rPr>
        <w:t xml:space="preserve">процессов самореализации и самосовершенствования наставляемого.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Этап 1 - 25.05.2026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09.01.2025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25.05.2026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Обеспечить нормативно-правовое оформление программы наставничества;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информировать коллектив и обучающихся о подготовке программы,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собрать предварительные запросы обучающихся, педагогов, молодых специалистов;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сформировать команду и выбрать куратора, отвечающих за реализацию программы;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определить задачи, формы наставничества, ожидаемые результаты;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выбрать форматы взаимодействия для каждой пары или группы;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проанализировать сильные и слабые стороны участников для постановки цели и задач на конкретные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периоды;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Реализация программ наставников.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Мониторинг: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сбор обратной связи от наставляемых – для мониторинга динамики влияния программы на наставляемых;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собрать лучшие наставнические практики, привлечь внимание общественности к деятельности образовательной организации;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Поощрение наставников.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Были созданы программы наставничества по направлениям: учитель-учитель, учитель- ученик, ученик - ученик.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Модель: учитель - учитель.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 данной модели было создано две наставнические пары:  опытные учителя осуществляли наставничество над молодыми специалистами (учителя начальных классов, учителя информатики). Были разработаны и внедрены планы работы наставнических пар, в рамках которых была проведена диагностика затруднений молодого специалиста и выбраны формы оказания помощи на основе анализа его потребностей (беседы, наблюдения, взаимопосещения уроков, обсуждение различных педагогических ситуаций и поиски их решения не только в парах, но и на предметных ШМО.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Модель: "учитель-ученик". По данной модели были созданы наставнические группы:  учитель- обучающиеся с ОВЗ и  учитель - разновозрастная группа одаренных обучающихся. В первой группе выявлялись особые образовательные потребности обучающихся и на их основе осуществлялась индивидуальная психолого- педагогическая помощь (взаимодействие с учителями и другими педагогическими работниками, взаимодействие с родителями/законными представителями, контроль и оценивание эффективности данного взаимодействия и индивидуального роста обучающихся. Во второй группе на основе бесед, наблюдений и анализа личностных результатов была выявлена группа обучающихся с высоким интеллектуальным и творческим потенциалом. На основе выявленных индивидуальных особенностей была организована работа по вовлечению обучающихся в олимпиадное и конкурсное движение (олимпиада ВСОШ, муниципальные творческие конкурсы (2-е место в конкурсе виртуальных экскурсий школьных музеев), результативное участие в областных творческих конкурсах, проводимых детской библиотекой им. А.П. Гайдара и региональных конкурсов, проводимых АО ИОО РО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Модель: ученик-ученик. Под руководством опытного педагога была создана группа наставляемых в рамках интеллектуального лагеря "Территория Позитива" (октябрь 2025). Форматы работы: один наставник-один наставляемый, один наставник- микрогруппа (ежедневные короткие планерки, совместные мозговые штурмы, рефлексия, итоговый проект).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Нормативно-правовое обеспечение реализации моделей наставничества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Кадровое обеспечение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Материально-техническое и информационно-методическое обеспечение программы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Мониторинг и оценка качества реализуемых моделей наставничества через сбор данных, опрос, собеседование, анкетирование, посещение уроков и мероприятий, отслеживание динамики успеваемости, участия в олимпиадах и проч.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Мониторинг и оценка качества реализуемых моделей наставничества осуществлялся через сбор данных, опрос, собеседование, анкетирование, посещение уроков и мероприятий, отслеживание динамики успеваемости, результативного участия в олимпиадах, конкурсах и проч. На основе полученного опыта в декабре 2025 года была проведена школьная методическая игра по наставничеству "Путь к успеху", в рамках которой были разобраны различные ситуации, возникающие в процессе наставнической деятельности. В феврале 2026 планируется провести муниципальную игру (доработанную).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Положение о системе наставничества (доработанное)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Материалы семинара "Наставничество в современной школе: практика и перспективы развития"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Планы работы наставников и наставляемых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Сценарий  муниципальной деловой игры "Наставничество - путь к успеху"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Нормативная база</w:t>
      </w:r>
    </w:p>
    <w:p>
      <w:pPr>
        <w:jc w:val="both"/>
        <w:spacing w:after="0"/>
      </w:pPr>
      <w:r>
        <w:rPr>
          <w:sz w:val="24"/>
          <w:szCs w:val="24"/>
        </w:rPr>
        <w:t xml:space="preserve">Приказ о внедрении целевой модели наставничества педагогических работников в МОУ "Средняя общеобразовательная школа № 91"
</w:t>
      </w:r>
    </w:p>
    <w:p>
      <w:pPr>
        <w:jc w:val="both"/>
        <w:spacing w:after="0"/>
      </w:pPr>
      <w:r>
        <w:rPr>
          <w:sz w:val="24"/>
          <w:szCs w:val="24"/>
        </w:rPr>
        <w:t xml:space="preserve">Положение о наставничестве в МОУ "Средняя общеобразовательная школа № 91"
</w:t>
      </w:r>
    </w:p>
    <w:p>
      <w:pPr>
        <w:jc w:val="both"/>
        <w:spacing w:after="0"/>
      </w:pPr>
      <w:r>
        <w:rPr>
          <w:sz w:val="24"/>
          <w:szCs w:val="24"/>
        </w:rPr>
        <w:t xml:space="preserve"> Приказ о создании рабочей группы по проектированию программы наставничества на 2024-2025 учебный  год
</w:t>
      </w:r>
    </w:p>
    <w:p>
      <w:pPr>
        <w:jc w:val="both"/>
        <w:spacing w:after="0"/>
      </w:pPr>
      <w:r>
        <w:rPr>
          <w:sz w:val="24"/>
          <w:szCs w:val="24"/>
        </w:rPr>
        <w:t xml:space="preserve">План мероприятий (дорожная карта) по реализации целевой модели наставничества
</w:t>
      </w:r>
    </w:p>
    <w:p>
      <w:pPr>
        <w:jc w:val="both"/>
        <w:spacing w:after="0"/>
      </w:pPr>
      <w:r>
        <w:rPr>
          <w:sz w:val="24"/>
          <w:szCs w:val="24"/>
        </w:rPr>
        <w:t xml:space="preserve">База наставников в МОУ "Средняя общеобразовательная школа № 91" на 2024-2025 учебный  год
</w:t>
      </w:r>
    </w:p>
    <w:p>
      <w:pPr>
        <w:jc w:val="both"/>
        <w:spacing w:after="0"/>
      </w:pPr>
      <w:r>
        <w:rPr>
          <w:sz w:val="24"/>
          <w:szCs w:val="24"/>
        </w:rPr>
        <w:t xml:space="preserve">База наставников и наставляемых в МОУ "Средняя общеобразовательная школа № 91" на 2024-2025 учебный  год
</w:t>
      </w:r>
    </w:p>
    <w:p>
      <w:pPr>
        <w:jc w:val="both"/>
        <w:spacing w:after="0"/>
      </w:pPr>
      <w:r>
        <w:rPr>
          <w:sz w:val="24"/>
          <w:szCs w:val="24"/>
        </w:rPr>
        <w:t xml:space="preserve">Приказ о формировании и закреплении наставнических пар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Предложения по распространению и внедрению результатов в массовую практику</w:t>
      </w:r>
    </w:p>
    <w:p>
      <w:pPr>
        <w:jc w:val="both"/>
      </w:pPr>
      <w:r>
        <w:rPr>
          <w:sz w:val="24"/>
          <w:szCs w:val="24"/>
        </w:rPr>
        <w:t xml:space="preserve">Обобщение опыта наставников на разных уровнях (педсовет, выступление на ГПО, региональная база обобщения опыта и проч.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Опыт по распространению и внедрению результатов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На сайте школы опубликована обновленная нормативная база по направлению "Наставничество"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В феврале 2025 года на базе школы был проведен муниципальный семинар по теме "Наставничество в современной школе. Перспективы развития", в рамках которого одиннадцать педагогов школы обобщили свой опыт.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Методическим советом школы была разработана методическая игра по наставничеству "Путь к успеху" и проведена в декабре 2025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В феврале 2026 запланировано проведение аналогичной муниципальной методической игры.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В марте 2026 года  состоится школьная конференция по наставничеству, в рамках которой предложено участникам разных моделей наставничества обобщить свой опыт.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Предложения по дальнейшей диссеминации</w:t>
      </w:r>
    </w:p>
    <w:p>
      <w:pPr>
        <w:jc w:val="both"/>
      </w:pPr>
      <w:r>
        <w:rPr>
          <w:color w:val="8B0000"/>
          <w:sz w:val="24"/>
          <w:szCs w:val="24"/>
        </w:rPr>
        <w:t xml:space="preserve">Предложить опубликовать разработку методической игры в сборниках межмуниципального, регионального, федерального уровня. Педагогам обобщить опыт, представленный на семинаре, а также в ходе работы наставнических групп на различных уровнях, в т.ч. печатных изданиях  и интернет - платформах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Обоснование устойчивости результатов проекта</w:t>
      </w:r>
    </w:p>
    <w:p>
      <w:pPr>
        <w:jc w:val="both"/>
      </w:pPr>
      <w:r>
        <w:rPr>
          <w:sz w:val="24"/>
          <w:szCs w:val="24"/>
        </w:rPr>
        <w:t xml:space="preserve">Повышение качества образования, обретение сопровождаемыми способности к самостоятельным действиям, решению проблем, преодолению барьеров, самоуправлению процессами собственного развития, образования, адаптации, карьерного роста и т. д.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Ресурсное обеспечение проекта</w:t>
      </w:r>
    </w:p>
    <w:p>
      <w:pPr>
        <w:jc w:val="both"/>
      </w:pPr>
      <w:r>
        <w:rPr>
          <w:sz w:val="24"/>
          <w:szCs w:val="24"/>
        </w:rPr>
        <w:t xml:space="preserve">Выплаты стимулирующего характера за качественную работу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Степень использования ресурсов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Использовались методические рекомендации по реализации наставничества в молодежном 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и детско-взрослом коллективе разработаны во исполнение пункта 18 плана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мероприятий по реализации Концепции развития наставничества в Российской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Федерации на период до 2030 года, утвержденной распоряжением Правительства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Российской Федерации от 21 мая 2025 г. № 1264-р (далее - Методические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рекомендации), материально- техническая база школы (интерактивные панели, доступ к сети "Интернет", библиотечный фонд школы и проч.</w:t>
      </w:r>
    </w:p>
    <w:sectPr>
      <w:pgSz w:orient="portrait" w:w="11905.511811023622" w:h="16837.79527559055"/>
      <w:pgMar w:top="567" w:right="850.5" w:bottom="1440" w:left="1701" w:header="720" w:footer="720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gipTable">
    <w:name w:val="regip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"/>
        <w:left w:val="single" w:sz="1" w:color="00000"/>
        <w:right w:val="single" w:sz="1" w:color="00000"/>
        <w:bottom w:val="single" w:sz="1" w:color="00000"/>
        <w:insideH w:val="single" w:sz="1" w:color="00000"/>
        <w:insideV w:val="single" w:sz="1" w:color="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2026-08-02T12:15:35+03:00</dcterms:created>
  <dcterms:modified xsi:type="dcterms:W3CDTF">2026-08-02T12:15:35+03:00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