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36"/>
          <w:szCs w:val="36"/>
          <w:b w:val="1"/>
          <w:bCs w:val="1"/>
        </w:rPr>
        <w:t xml:space="preserve">муниципальное автономное дошкольное образовательное учреждение Центр развития ребенка - «Детский сад № 20 «Дружный хоровод» (Проект по реализации модели наставничества «Шаг вперед»)</w:t>
      </w:r>
    </w:p>
    <w:p>
      <w:pPr>
        <w:jc w:val="center"/>
      </w:pPr>
      <w:r>
        <w:rPr>
          <w:sz w:val="32"/>
          <w:szCs w:val="32"/>
          <w:u w:val="single"/>
        </w:rPr>
        <w:t xml:space="preserve">Образовательная организация</w:t>
      </w:r>
    </w:p>
    <w:p>
      <w:pPr>
        <w:jc w:val="left"/>
      </w:pPr>
      <w:r>
        <w:rPr>
          <w:sz w:val="28"/>
          <w:szCs w:val="28"/>
          <w:b w:val="1"/>
          <w:bCs w:val="1"/>
        </w:rPr>
        <w:t xml:space="preserve">Сведения об образовательной организации</w:t>
      </w:r>
    </w:p>
    <w:tbl>
      <w:tblGrid>
        <w:gridCol w:w="3000" w:type="dxa"/>
        <w:gridCol w:w="7000" w:type="dxa"/>
      </w:tblGrid>
      <w:tblPr>
        <w:tblStyle w:val="regipTable"/>
      </w:tblPr>
      <w:tr>
        <w:trPr/>
        <w:tc>
          <w:tcPr>
            <w:tcW w:w="3000" w:type="dxa"/>
            <w:vAlign w:val="top"/>
            <w:shd w:val="clear" w:fill="F5F5F5"/>
            <w:noWrap/>
          </w:tcPr>
          <w:p>
            <w:pPr/>
            <w:r>
              <w:rPr/>
              <w:t xml:space="preserve">Полное наименование в соответствии с Уставом</w:t>
            </w:r>
          </w:p>
        </w:tc>
        <w:tc>
          <w:tcPr>
            <w:tcW w:w="7000" w:type="dxa"/>
            <w:vAlign w:val="top"/>
            <w:noWrap/>
          </w:tcPr>
          <w:p>
            <w:pPr>
              <w:jc w:val="both"/>
            </w:pPr>
            <w:r>
              <w:rPr>
                <w:sz w:val="24"/>
                <w:szCs w:val="24"/>
              </w:rPr>
              <w:t xml:space="preserve">муниципальное автономное дошкольное образовательное учреждение Центр развития ребенка - «Детский сад № 20 «Дружный хоровод»</w:t>
            </w:r>
          </w:p>
        </w:tc>
      </w:tr>
      <w:tr>
        <w:trPr/>
        <w:tc>
          <w:tcPr>
            <w:tcW w:w="3000" w:type="dxa"/>
            <w:vAlign w:val="top"/>
            <w:shd w:val="clear" w:fill="F5F5F5"/>
            <w:noWrap/>
          </w:tcPr>
          <w:p>
            <w:pPr/>
            <w:r>
              <w:rPr/>
              <w:t xml:space="preserve">Сокращённое наименование</w:t>
            </w:r>
          </w:p>
        </w:tc>
        <w:tc>
          <w:tcPr>
            <w:tcW w:w="7000" w:type="dxa"/>
            <w:vAlign w:val="top"/>
            <w:noWrap/>
          </w:tcPr>
          <w:p>
            <w:pPr>
              <w:jc w:val="both"/>
            </w:pPr>
            <w:r>
              <w:rPr>
                <w:sz w:val="24"/>
                <w:szCs w:val="24"/>
              </w:rPr>
              <w:t xml:space="preserve">МАДОУ 'ЦРР-Детский сад №20 'Дружный хоровод'</w:t>
            </w:r>
          </w:p>
        </w:tc>
      </w:tr>
      <w:tr>
        <w:trPr/>
        <w:tc>
          <w:tcPr>
            <w:tcW w:w="3000" w:type="dxa"/>
            <w:vAlign w:val="top"/>
            <w:shd w:val="clear" w:fill="F5F5F5"/>
            <w:noWrap/>
          </w:tcPr>
          <w:p>
            <w:pPr/>
            <w:r>
              <w:rPr/>
              <w:t xml:space="preserve">Муниципальное образование</w:t>
            </w:r>
          </w:p>
        </w:tc>
        <w:tc>
          <w:tcPr>
            <w:tcW w:w="7000" w:type="dxa"/>
            <w:vAlign w:val="top"/>
            <w:noWrap/>
          </w:tcPr>
          <w:p>
            <w:pPr>
              <w:jc w:val="both"/>
            </w:pPr>
            <w:r>
              <w:rPr>
                <w:sz w:val="24"/>
                <w:szCs w:val="24"/>
              </w:rPr>
              <w:t xml:space="preserve">Северодвинск (Городской округ)</w:t>
            </w:r>
          </w:p>
        </w:tc>
      </w:tr>
      <w:tr>
        <w:trPr/>
        <w:tc>
          <w:tcPr>
            <w:tcW w:w="3000" w:type="dxa"/>
            <w:vAlign w:val="top"/>
            <w:shd w:val="clear" w:fill="F5F5F5"/>
            <w:noWrap/>
          </w:tcPr>
          <w:p>
            <w:pPr/>
            <w:r>
              <w:rPr/>
              <w:t xml:space="preserve">Юридический адрес</w:t>
            </w:r>
          </w:p>
        </w:tc>
        <w:tc>
          <w:tcPr>
            <w:tcW w:w="7000" w:type="dxa"/>
            <w:vAlign w:val="top"/>
            <w:noWrap/>
          </w:tcPr>
          <w:p>
            <w:pPr>
              <w:jc w:val="both"/>
            </w:pPr>
            <w:r>
              <w:rPr>
                <w:sz w:val="24"/>
                <w:szCs w:val="24"/>
              </w:rPr>
              <w:t xml:space="preserve">164500, Архангельская область, г. Северодвинск, ул. Первомайская, д.61-А</w:t>
            </w:r>
          </w:p>
        </w:tc>
      </w:tr>
      <w:tr>
        <w:trPr/>
        <w:tc>
          <w:tcPr>
            <w:tcW w:w="3000" w:type="dxa"/>
            <w:vAlign w:val="top"/>
            <w:shd w:val="clear" w:fill="F5F5F5"/>
            <w:noWrap/>
          </w:tcPr>
          <w:p>
            <w:pPr/>
            <w:r>
              <w:rPr/>
              <w:t xml:space="preserve">Фактический адрес</w:t>
            </w:r>
          </w:p>
        </w:tc>
        <w:tc>
          <w:tcPr>
            <w:tcW w:w="7000" w:type="dxa"/>
            <w:vAlign w:val="top"/>
            <w:noWrap/>
          </w:tcPr>
          <w:p>
            <w:pPr>
              <w:jc w:val="both"/>
            </w:pPr>
            <w:r>
              <w:rPr>
                <w:sz w:val="24"/>
                <w:szCs w:val="24"/>
              </w:rPr>
              <w:t xml:space="preserve">164500, Архангельская область, г. Северодвинск, ул. Первомайская, д.61-А</w:t>
            </w:r>
          </w:p>
        </w:tc>
      </w:tr>
      <w:tr>
        <w:trPr/>
        <w:tc>
          <w:tcPr>
            <w:tcW w:w="3000" w:type="dxa"/>
            <w:vAlign w:val="top"/>
            <w:shd w:val="clear" w:fill="F5F5F5"/>
            <w:noWrap/>
          </w:tcPr>
          <w:p>
            <w:pPr/>
            <w:r>
              <w:rPr/>
              <w:t xml:space="preserve">Ф.И.О. руководителя</w:t>
            </w:r>
          </w:p>
        </w:tc>
        <w:tc>
          <w:tcPr>
            <w:tcW w:w="7000" w:type="dxa"/>
            <w:vAlign w:val="top"/>
            <w:noWrap/>
          </w:tcPr>
          <w:p>
            <w:pPr>
              <w:jc w:val="both"/>
            </w:pPr>
            <w:r>
              <w:rPr>
                <w:sz w:val="24"/>
                <w:szCs w:val="24"/>
              </w:rPr>
              <w:t xml:space="preserve">Герасимова Лиана Валентиновна</w:t>
            </w:r>
          </w:p>
        </w:tc>
      </w:tr>
      <w:tr>
        <w:trPr/>
        <w:tc>
          <w:tcPr>
            <w:tcW w:w="3000" w:type="dxa"/>
            <w:vAlign w:val="top"/>
            <w:shd w:val="clear" w:fill="F5F5F5"/>
            <w:noWrap/>
          </w:tcPr>
          <w:p>
            <w:pPr/>
            <w:r>
              <w:rPr/>
              <w:t xml:space="preserve">Ф.И.О. координатора проекта</w:t>
            </w:r>
          </w:p>
        </w:tc>
        <w:tc>
          <w:tcPr>
            <w:tcW w:w="7000" w:type="dxa"/>
            <w:vAlign w:val="top"/>
            <w:noWrap/>
          </w:tcPr>
          <w:p>
            <w:pPr>
              <w:jc w:val="both"/>
            </w:pPr>
            <w:r>
              <w:rPr>
                <w:sz w:val="24"/>
                <w:szCs w:val="24"/>
              </w:rPr>
              <w:t xml:space="preserve">Кожина Анастасия Леонидовна, Поздякова Мария Николаевна</w:t>
            </w:r>
          </w:p>
        </w:tc>
      </w:tr>
      <w:tr>
        <w:trPr/>
        <w:tc>
          <w:tcPr>
            <w:tcW w:w="3000" w:type="dxa"/>
            <w:vAlign w:val="top"/>
            <w:shd w:val="clear" w:fill="F5F5F5"/>
            <w:noWrap/>
          </w:tcPr>
          <w:p>
            <w:pPr/>
            <w:r>
              <w:rPr/>
              <w:t xml:space="preserve">Контактный телефон</w:t>
            </w:r>
          </w:p>
        </w:tc>
        <w:tc>
          <w:tcPr>
            <w:tcW w:w="7000" w:type="dxa"/>
            <w:vAlign w:val="top"/>
            <w:noWrap/>
          </w:tcPr>
          <w:p>
            <w:pPr>
              <w:jc w:val="both"/>
            </w:pPr>
            <w:r>
              <w:rPr>
                <w:sz w:val="24"/>
                <w:szCs w:val="24"/>
              </w:rPr>
              <w:t xml:space="preserve">8(818)453-63-20</w:t>
            </w:r>
          </w:p>
        </w:tc>
      </w:tr>
      <w:tr>
        <w:trPr/>
        <w:tc>
          <w:tcPr>
            <w:tcW w:w="3000" w:type="dxa"/>
            <w:vAlign w:val="top"/>
            <w:shd w:val="clear" w:fill="F5F5F5"/>
            <w:noWrap/>
          </w:tcPr>
          <w:p>
            <w:pPr/>
            <w:r>
              <w:rPr/>
              <w:t xml:space="preserve">Сайт образовательной организации</w:t>
            </w:r>
          </w:p>
        </w:tc>
        <w:tc>
          <w:tcPr>
            <w:tcW w:w="7000" w:type="dxa"/>
            <w:vAlign w:val="top"/>
            <w:noWrap/>
          </w:tcPr>
          <w:p>
            <w:pPr>
              <w:jc w:val="both"/>
            </w:pPr>
            <w:r>
              <w:rPr>
                <w:sz w:val="24"/>
                <w:szCs w:val="24"/>
              </w:rPr>
              <w:t xml:space="preserve">http://дружныйхоровод.рф</w:t>
            </w:r>
          </w:p>
        </w:tc>
      </w:tr>
      <w:tr>
        <w:trPr/>
        <w:tc>
          <w:tcPr>
            <w:tcW w:w="3000" w:type="dxa"/>
            <w:vAlign w:val="top"/>
            <w:shd w:val="clear" w:fill="F5F5F5"/>
            <w:noWrap/>
          </w:tcPr>
          <w:p>
            <w:pPr/>
            <w:r>
              <w:rPr/>
              <w:t xml:space="preserve">Адрес электронной почты</w:t>
            </w:r>
          </w:p>
        </w:tc>
        <w:tc>
          <w:tcPr>
            <w:tcW w:w="7000" w:type="dxa"/>
            <w:vAlign w:val="top"/>
            <w:noWrap/>
          </w:tcPr>
          <w:p>
            <w:pPr>
              <w:jc w:val="both"/>
            </w:pPr>
            <w:r>
              <w:rPr>
                <w:sz w:val="24"/>
                <w:szCs w:val="24"/>
              </w:rPr>
              <w:t xml:space="preserve">buhdrugnyihorovod@mail.ru</w:t>
            </w:r>
          </w:p>
        </w:tc>
      </w:tr>
    </w:tbl>
    <w:p/>
    <w:p>
      <w:pPr>
        <w:jc w:val="center"/>
      </w:pPr>
      <w:r>
        <w:rPr>
          <w:sz w:val="32"/>
          <w:szCs w:val="32"/>
          <w:u w:val="single"/>
        </w:rPr>
        <w:t xml:space="preserve">Проект</w:t>
      </w:r>
    </w:p>
    <w:p>
      <w:pPr>
        <w:jc w:val="left"/>
      </w:pPr>
      <w:r>
        <w:rPr>
          <w:sz w:val="28"/>
          <w:szCs w:val="28"/>
          <w:b w:val="1"/>
          <w:bCs w:val="1"/>
        </w:rPr>
        <w:t xml:space="preserve">Общие сведения о проекте</w:t>
      </w:r>
    </w:p>
    <w:tbl>
      <w:tblGrid>
        <w:gridCol w:w="3000" w:type="dxa"/>
        <w:gridCol w:w="7000" w:type="dxa"/>
      </w:tblGrid>
      <w:tblPr>
        <w:tblStyle w:val="regipTable"/>
      </w:tblPr>
      <w:tr>
        <w:trPr/>
        <w:tc>
          <w:tcPr>
            <w:tcW w:w="3000" w:type="dxa"/>
            <w:vAlign w:val="top"/>
            <w:shd w:val="clear" w:fill="F5F5F5"/>
            <w:noWrap/>
          </w:tcPr>
          <w:p>
            <w:pPr/>
            <w:r>
              <w:rPr/>
              <w:t xml:space="preserve">Название проекта</w:t>
            </w:r>
          </w:p>
        </w:tc>
        <w:tc>
          <w:tcPr>
            <w:tcW w:w="7000" w:type="dxa"/>
            <w:vAlign w:val="top"/>
            <w:noWrap/>
          </w:tcPr>
          <w:p>
            <w:pPr>
              <w:jc w:val="both"/>
            </w:pPr>
            <w:r>
              <w:rPr>
                <w:sz w:val="24"/>
                <w:szCs w:val="24"/>
              </w:rPr>
              <w:t xml:space="preserve">Проект по реализации модели наставничества «Шаг вперед»</w:t>
            </w:r>
          </w:p>
        </w:tc>
      </w:tr>
      <w:tr>
        <w:trPr/>
        <w:tc>
          <w:tcPr>
            <w:tcW w:w="3000" w:type="dxa"/>
            <w:vAlign w:val="top"/>
            <w:shd w:val="clear" w:fill="F5F5F5"/>
            <w:noWrap/>
          </w:tcPr>
          <w:p>
            <w:pPr/>
            <w:r>
              <w:rPr/>
              <w:t xml:space="preserve">Цель</w:t>
            </w:r>
          </w:p>
        </w:tc>
        <w:tc>
          <w:tcPr>
            <w:tcW w:w="7000" w:type="dxa"/>
            <w:vAlign w:val="top"/>
            <w:noWrap/>
          </w:tcPr>
          <w:p>
            <w:pPr>
              <w:jc w:val="both"/>
            </w:pPr>
            <w:r>
              <w:rPr>
                <w:sz w:val="24"/>
                <w:szCs w:val="24"/>
              </w:rPr>
              <w:t xml:space="preserve">Построение и реализация модели наставничества для участников образовательных отношений, вовлеченных в различные формы сопровождения, наставничества.</w:t>
            </w:r>
          </w:p>
        </w:tc>
      </w:tr>
      <w:tr>
        <w:trPr/>
        <w:tc>
          <w:tcPr>
            <w:tcW w:w="3000" w:type="dxa"/>
            <w:vAlign w:val="top"/>
            <w:shd w:val="clear" w:fill="F5F5F5"/>
            <w:noWrap/>
          </w:tcPr>
          <w:p>
            <w:pPr/>
            <w:r>
              <w:rPr/>
              <w:t xml:space="preserve">Задачи</w:t>
            </w:r>
          </w:p>
        </w:tc>
        <w:tc>
          <w:tcPr>
            <w:tcW w:w="7000" w:type="dxa"/>
            <w:vAlign w:val="top"/>
            <w:noWrap/>
          </w:tcPr>
          <w:p>
            <w:pPr>
              <w:jc w:val="both"/>
              <w:spacing w:after="0"/>
            </w:pPr>
            <w:r>
              <w:rPr>
                <w:sz w:val="24"/>
                <w:szCs w:val="24"/>
              </w:rPr>
              <w:t xml:space="preserve">•	способствовать раскрытию личностного, творческого, профессионального потенциала каждого. педагога, поддержка индивидуальной образовательной траектории;
</w:t>
            </w:r>
          </w:p>
          <w:p>
            <w:pPr>
              <w:jc w:val="both"/>
              <w:spacing w:after="0"/>
            </w:pPr>
            <w:r>
              <w:rPr>
                <w:sz w:val="24"/>
                <w:szCs w:val="24"/>
              </w:rPr>
              <w:t xml:space="preserve">•	создавать успешную среду для развития и повышения квалификации педагогов, увеличение числа закрепившихся в профессии педагогических кадров;
</w:t>
            </w:r>
          </w:p>
          <w:p>
            <w:pPr>
              <w:jc w:val="both"/>
              <w:spacing w:after="0"/>
            </w:pPr>
            <w:r>
              <w:rPr>
                <w:sz w:val="24"/>
                <w:szCs w:val="24"/>
              </w:rPr>
              <w:t xml:space="preserve">•	формировать открытое и эффективное сообщество образовательной организации, способное на комплексную поддержку ее деятельности;
</w:t>
            </w:r>
          </w:p>
          <w:p>
            <w:pPr>
              <w:jc w:val="both"/>
              <w:spacing w:after="0"/>
            </w:pPr>
            <w:r>
              <w:rPr>
                <w:sz w:val="24"/>
                <w:szCs w:val="24"/>
              </w:rPr>
              <w:t xml:space="preserve">•	создавать необходимые условия для непрерывного совершенствования профессионального мастерства и личностного роста педагога;
</w:t>
            </w:r>
          </w:p>
          <w:p>
            <w:pPr>
              <w:jc w:val="both"/>
              <w:spacing w:after="0"/>
            </w:pPr>
            <w:r>
              <w:rPr>
                <w:sz w:val="24"/>
                <w:szCs w:val="24"/>
              </w:rPr>
              <w:t xml:space="preserve">•	способствовать накоплению и тиражированию эффективных практик наставничества</w:t>
            </w:r>
          </w:p>
        </w:tc>
      </w:tr>
      <w:tr>
        <w:trPr/>
        <w:tc>
          <w:tcPr>
            <w:tcW w:w="3000" w:type="dxa"/>
            <w:vAlign w:val="top"/>
            <w:shd w:val="clear" w:fill="F5F5F5"/>
            <w:noWrap/>
          </w:tcPr>
          <w:p>
            <w:pPr/>
            <w:r>
              <w:rPr/>
              <w:t xml:space="preserve">Основная идея (идеи) проекта</w:t>
            </w:r>
          </w:p>
        </w:tc>
        <w:tc>
          <w:tcPr>
            <w:tcW w:w="7000" w:type="dxa"/>
            <w:vAlign w:val="top"/>
            <w:noWrap/>
          </w:tcPr>
          <w:p>
            <w:pPr>
              <w:jc w:val="both"/>
              <w:spacing w:after="0"/>
            </w:pPr>
            <w:r>
              <w:rPr>
                <w:sz w:val="24"/>
                <w:szCs w:val="24"/>
              </w:rPr>
              <w:t xml:space="preserve">Важность гармоничного и системного развития образования отражена в национальном проекте «Образование», который ставит перед всеми образовательными организациями две ключевые цели: обеспечение глобальной конкурентоспособности российского образования и воспитание гармонично развитой и социально ответственной личности на основе духовно-нравственных ценностей и культурных традиций народов Российской Федерации. Этих целей невозможно достичь без создания системы поддержки и развития навыков, талантов и компетенций – общекультурных, общепрофессиональных и метакомпетенций. Эта система также должна способствовать решению задачи по самоопределению и профессиональной ориентации молодых специалистов и повышению профессиональных компетенций педагогических работников. 
</w:t>
            </w:r>
          </w:p>
          <w:p>
            <w:pPr>
              <w:jc w:val="both"/>
              <w:spacing w:after="0"/>
            </w:pPr>
            <w:r>
              <w:rPr>
                <w:sz w:val="24"/>
                <w:szCs w:val="24"/>
              </w:rPr>
              <w:t xml:space="preserve">Проблемы педагогических работников:
</w:t>
            </w:r>
          </w:p>
          <w:p>
            <w:pPr>
              <w:jc w:val="both"/>
              <w:spacing w:after="0"/>
            </w:pPr>
            <w:r>
              <w:rPr>
                <w:sz w:val="24"/>
                <w:szCs w:val="24"/>
              </w:rPr>
              <w:t xml:space="preserve">•	проблемы адаптации молодого специалиста в новом коллективе, привыкания к новому социальному статусу;
</w:t>
            </w:r>
          </w:p>
          <w:p>
            <w:pPr>
              <w:jc w:val="both"/>
              <w:spacing w:after="0"/>
            </w:pPr>
            <w:r>
              <w:rPr>
                <w:sz w:val="24"/>
                <w:szCs w:val="24"/>
              </w:rPr>
              <w:t xml:space="preserve">•	проблемы педагога с большим стажем, ощущающего себя некомфортно в мире новых образовательных технологий или испытывающего кризис профессионального роста, находящегося в ситуации профессионального выгорания;
</w:t>
            </w:r>
          </w:p>
          <w:p>
            <w:pPr>
              <w:jc w:val="both"/>
              <w:spacing w:after="0"/>
            </w:pPr>
            <w:r>
              <w:rPr>
                <w:sz w:val="24"/>
                <w:szCs w:val="24"/>
              </w:rPr>
              <w:t xml:space="preserve">•	 отсутствие мотивации к использованию новых технологий и недостаточное знание ими теории технологизации образования;
</w:t>
            </w:r>
          </w:p>
          <w:p>
            <w:pPr>
              <w:jc w:val="both"/>
              <w:spacing w:after="0"/>
            </w:pPr>
            <w:r>
              <w:rPr>
                <w:sz w:val="24"/>
                <w:szCs w:val="24"/>
              </w:rPr>
              <w:t xml:space="preserve">•	 дефицит умения адаптировать новые технологии обучения к собственной педагогической деятельности;
</w:t>
            </w:r>
          </w:p>
          <w:p>
            <w:pPr>
              <w:jc w:val="both"/>
              <w:spacing w:after="0"/>
            </w:pPr>
            <w:r>
              <w:rPr>
                <w:sz w:val="24"/>
                <w:szCs w:val="24"/>
              </w:rPr>
              <w:t xml:space="preserve">•	отсутствие эффективного взаимодействия педагогических работников с узкими специалистами для решения профессиональных задач;
</w:t>
            </w:r>
          </w:p>
          <w:p>
            <w:pPr>
              <w:jc w:val="both"/>
              <w:spacing w:after="0"/>
            </w:pPr>
            <w:r>
              <w:rPr>
                <w:sz w:val="24"/>
                <w:szCs w:val="24"/>
              </w:rPr>
              <w:t xml:space="preserve">•	наличие факторов, влияющих на профессиональное выгорание педагогов – стрессы и тревожность, возникающие вследствие конфликтных ситуаций с администрацией, коллективом, другими участниками образовательных отношений;
</w:t>
            </w:r>
          </w:p>
          <w:p>
            <w:pPr>
              <w:jc w:val="both"/>
              <w:spacing w:after="0"/>
            </w:pPr>
            <w:r>
              <w:rPr>
                <w:sz w:val="24"/>
                <w:szCs w:val="24"/>
              </w:rPr>
              <w:t xml:space="preserve">•	отсутствие у педагогических работников профессиональных компетенций по работе с разными категориями детей.
</w:t>
            </w:r>
          </w:p>
          <w:p>
            <w:pPr>
              <w:jc w:val="both"/>
              <w:spacing w:after="0"/>
            </w:pPr>
            <w:r>
              <w:rPr>
                <w:sz w:val="24"/>
                <w:szCs w:val="24"/>
              </w:rPr>
              <w:t xml:space="preserve">В дошкольном образовании происходит постепенная трансформация кадрового состава педагогических работников – в коллектив вливается много молодых специалистов, одновременно с этим сохраняется состав педагогов со средним и большим стажем педагогической деятельности. Наставничество является успешным и эффективным методом профессиональной адаптации, применяемым в дошкольном образовательном учреждении, способствующим становлению молодого специалиста. Адаптация молодого педагога проходит на рабочем месте под руководством наставника, который создает организационные, научно-методические и мотивационные условия для профессионального становления. Однако, мы сделали вывод, что традиционные формы наставничества не всегда приводят к нужным результатам. Педагоги со стажем, как и молодые специалисты, могут испытывать трудности в профессиональной деятельности. Разработанная модель наставничества, включающая в себя работу как с молодыми педагогами, так и с педагогами со стажем, позволит эффективно решать актуальные для конкретной организации задачи повышения профессиональной компетентности педагогов, сохранения кадрового потенциала образовательной организации, повышения качества дошкольного образования, а также позволит «обогатить» образовательное пространство дошкольной организации.</w:t>
            </w:r>
          </w:p>
        </w:tc>
      </w:tr>
      <w:tr>
        <w:trPr/>
        <w:tc>
          <w:tcPr>
            <w:tcW w:w="3000" w:type="dxa"/>
            <w:vAlign w:val="top"/>
            <w:shd w:val="clear" w:fill="F5F5F5"/>
            <w:noWrap/>
          </w:tcPr>
          <w:p>
            <w:pPr/>
            <w:r>
              <w:rPr/>
              <w:t xml:space="preserve">Обоснование значимости проекта</w:t>
            </w:r>
          </w:p>
        </w:tc>
        <w:tc>
          <w:tcPr>
            <w:tcW w:w="7000" w:type="dxa"/>
            <w:vAlign w:val="top"/>
            <w:noWrap/>
          </w:tcPr>
          <w:p>
            <w:pPr>
              <w:jc w:val="both"/>
              <w:spacing w:after="0"/>
            </w:pPr>
            <w:r>
              <w:rPr>
                <w:sz w:val="24"/>
                <w:szCs w:val="24"/>
              </w:rPr>
              <w:t xml:space="preserve">Актуальность проблемы наставничества педагогов в дошкольном образовании в последние годы приобретает всё большее значение. В условиях современных образовательных реалий, где высокий уровень профессионализма и инновационных подходов к обучению становится обязательным, наставничество выступает важным инструментом повышения квалификации. Благодаря наставничеству опытные педагоги способствуют передаче знаний, умений и навыков молодым специалистам, что, в свою очередь, положительно влияет на качество образовательного процесса в детском саду.
</w:t>
            </w:r>
          </w:p>
          <w:p>
            <w:pPr>
              <w:jc w:val="both"/>
              <w:spacing w:after="0"/>
            </w:pPr>
            <w:r>
              <w:rPr>
                <w:sz w:val="24"/>
                <w:szCs w:val="24"/>
              </w:rPr>
              <w:t xml:space="preserve">Наставничество также способствует созданию поддерживающей и доверительной среды, где молодые педагоги могут открыто обсуждать свои трудности и получать конструктивные советы. Это помогает им быстрее адаптироваться, уберегая от профессионального выгорания и сомнений в своих способностях. В условиях непрерывных изменений в педагогической практике, необходимых для соответствия требованиям образовательных стандартов, эффективное наставничество становится ключевым фактором в формировании качественного педагогического состава.
</w:t>
            </w:r>
          </w:p>
          <w:p>
            <w:pPr>
              <w:jc w:val="both"/>
              <w:spacing w:after="0"/>
            </w:pPr>
            <w:r>
              <w:rPr>
                <w:sz w:val="24"/>
                <w:szCs w:val="24"/>
              </w:rPr>
              <w:t xml:space="preserve">МАДОУ № 20 «Дружный хоровод» г. Северодвинска может обобщить и распространить опыт работы по реализации модели наставничества. Разработанная модель будет включать правовые, управленческие, кадровые и содержательные аспекты, учитывать возможности методов наставничества, содержать инновационные форматы наставнических практик. Универсальный характер модели позволит перенести ее содержание на деятельность любой дошкольной образовательной организации.</w:t>
            </w:r>
          </w:p>
        </w:tc>
      </w:tr>
    </w:tbl>
    <w:p/>
    <w:p>
      <w:pPr>
        <w:jc w:val="left"/>
      </w:pPr>
      <w:r>
        <w:rPr>
          <w:sz w:val="28"/>
          <w:szCs w:val="28"/>
          <w:b w:val="1"/>
          <w:bCs w:val="1"/>
        </w:rPr>
        <w:t xml:space="preserve">Описание реализации проекта</w:t>
      </w:r>
    </w:p>
    <w:p>
      <w:pPr>
        <w:jc w:val="both"/>
        <w:spacing w:after="0"/>
      </w:pPr>
      <w:r>
        <w:rPr>
          <w:sz w:val="24"/>
          <w:szCs w:val="24"/>
        </w:rPr>
        <w:t xml:space="preserve">Вид проекта по количеству участников: коллективный.
</w:t>
      </w:r>
    </w:p>
    <w:p>
      <w:pPr>
        <w:jc w:val="both"/>
        <w:spacing w:after="0"/>
      </w:pPr>
      <w:r>
        <w:rPr>
          <w:sz w:val="24"/>
          <w:szCs w:val="24"/>
        </w:rPr>
        <w:t xml:space="preserve">Вид проекта по содержанию: интегративный.
</w:t>
      </w:r>
    </w:p>
    <w:p>
      <w:pPr>
        <w:jc w:val="both"/>
        <w:spacing w:after="0"/>
      </w:pPr>
      <w:r>
        <w:rPr>
          <w:sz w:val="24"/>
          <w:szCs w:val="24"/>
        </w:rPr>
        <w:t xml:space="preserve">Вид проекта по доминирующему виду проектной деятельности: практико-ориентированный.
</w:t>
      </w:r>
    </w:p>
    <w:p>
      <w:pPr>
        <w:jc w:val="both"/>
        <w:spacing w:after="0"/>
      </w:pPr>
      <w:r>
        <w:rPr>
          <w:sz w:val="24"/>
          <w:szCs w:val="24"/>
        </w:rPr>
        <w:t xml:space="preserve">По продолжительности: долгосрочный.
</w:t>
      </w:r>
    </w:p>
    <w:p>
      <w:pPr>
        <w:jc w:val="both"/>
        <w:spacing w:after="0"/>
      </w:pPr>
      <w:r>
        <w:rPr>
          <w:sz w:val="24"/>
          <w:szCs w:val="24"/>
        </w:rPr>
        <w:t xml:space="preserve">Характер контактов: педагогический коллектив МАДОУ.
</w:t>
      </w:r>
    </w:p>
    <w:p>
      <w:pPr>
        <w:jc w:val="both"/>
        <w:spacing w:after="0"/>
      </w:pPr>
      <w:r>
        <w:rPr>
          <w:sz w:val="24"/>
          <w:szCs w:val="24"/>
        </w:rPr>
        <w:t xml:space="preserve">Направление реализации проекта: 
</w:t>
      </w:r>
    </w:p>
    <w:p>
      <w:pPr>
        <w:jc w:val="both"/>
        <w:spacing w:after="0"/>
      </w:pPr>
      <w:r>
        <w:rPr>
          <w:sz w:val="24"/>
          <w:szCs w:val="24"/>
        </w:rPr>
        <w:t xml:space="preserve">повышение качества образовательного процесса в ДОО, повышение уровня профессиональной компетентности начинающих педагогов и педагогов со стажем профессиональной деятельности.
</w:t>
      </w:r>
    </w:p>
    <w:p>
      <w:pPr>
        <w:jc w:val="both"/>
        <w:spacing w:after="0"/>
      </w:pPr>
      <w:r>
        <w:rPr>
          <w:sz w:val="24"/>
          <w:szCs w:val="24"/>
        </w:rPr>
        <w:t xml:space="preserve">Срок реализации проекта: 2025 – 2026 годы.
</w:t>
      </w:r>
    </w:p>
    <w:p>
      <w:pPr>
        <w:jc w:val="both"/>
        <w:spacing w:after="0"/>
      </w:pPr>
      <w:r>
        <w:rPr>
          <w:sz w:val="24"/>
          <w:szCs w:val="24"/>
        </w:rPr>
        <w:t xml:space="preserve">Ключевые слова: наставничество, формы наставничества, молодой специалист, наставник, профессиональные дефициты, индивидуальный образовательный маршрут, флеш-наставничество, реверсивное наставничество, тюториал-наставничество
</w:t>
      </w:r>
    </w:p>
    <w:p>
      <w:pPr>
        <w:jc w:val="both"/>
        <w:spacing w:after="0"/>
      </w:pPr>
      <w:r>
        <w:rPr>
          <w:sz w:val="24"/>
          <w:szCs w:val="24"/>
        </w:rPr>
        <w:t xml:space="preserve">
</w:t>
      </w:r>
    </w:p>
    <w:p>
      <w:pPr>
        <w:jc w:val="both"/>
        <w:spacing w:after="0"/>
      </w:pPr>
      <w:r>
        <w:rPr>
          <w:sz w:val="24"/>
          <w:szCs w:val="24"/>
        </w:rPr>
        <w:t xml:space="preserve">Инновационность проекта состоит в активном применении современных форматов наставнической деятельности: флеш-наставничество, реверсивное наставничество, тьюториал-наставничество. Данные форматы применяются таким образом в педагогической деятельности МАДОУ, что в реализации проекта задействован весь педагогический коллектив: молодые специалисты как наставляемые, педагоги-наставники (формируется реестр наставников на базе МАДОУ), остальные педагоги посредством диагностики профессиональных дефицитов и реализации индивидуальных образовательных маршрутов.</w:t>
      </w:r>
    </w:p>
    <w:p>
      <w:pPr>
        <w:jc w:val="left"/>
      </w:pPr>
      <w:r>
        <w:rPr>
          <w:sz w:val="28"/>
          <w:szCs w:val="28"/>
          <w:b w:val="1"/>
          <w:bCs w:val="1"/>
        </w:rPr>
        <w:t xml:space="preserve">Исходные теоретические положения</w:t>
      </w:r>
    </w:p>
    <w:p>
      <w:pPr>
        <w:jc w:val="both"/>
        <w:spacing w:after="0"/>
      </w:pPr>
      <w:r>
        <w:rPr>
          <w:sz w:val="24"/>
          <w:szCs w:val="24"/>
        </w:rPr>
        <w:t xml:space="preserve">В Национальном проекте «Образование» в числе прочих поставлены следующие задачи:
</w:t>
      </w:r>
    </w:p>
    <w:p>
      <w:pPr>
        <w:jc w:val="both"/>
        <w:spacing w:after="0"/>
      </w:pPr>
      <w:r>
        <w:rPr>
          <w:sz w:val="24"/>
          <w:szCs w:val="24"/>
        </w:rPr>
        <w:t xml:space="preserve">•	внедрение национальной системы профессионального роста педагогических работников, охватывающей не менее 50% учителей общеобразовательных организаций;
</w:t>
      </w:r>
    </w:p>
    <w:p>
      <w:pPr>
        <w:jc w:val="both"/>
        <w:spacing w:after="0"/>
      </w:pPr>
      <w:r>
        <w:rPr>
          <w:sz w:val="24"/>
          <w:szCs w:val="24"/>
        </w:rPr>
        <w:t xml:space="preserve">•	формирование системы непрерывного обновления работающими гражданами своих профессиональных знаний и приобретения ими новых профессиональных навыков, включая овладение компетенциями в области цифровой экономики всеми желающими;
</w:t>
      </w:r>
    </w:p>
    <w:p>
      <w:pPr>
        <w:jc w:val="both"/>
        <w:spacing w:after="0"/>
      </w:pPr>
      <w:r>
        <w:rPr>
          <w:sz w:val="24"/>
          <w:szCs w:val="24"/>
        </w:rPr>
        <w:t xml:space="preserve">•	создание условий для развития наставничества, поддержки общественных инициатив и проектов, в том числе в сфере добровольчества (волонтёрства).
</w:t>
      </w:r>
    </w:p>
    <w:p>
      <w:pPr>
        <w:jc w:val="both"/>
        <w:spacing w:after="0"/>
      </w:pPr>
      <w:r>
        <w:rPr>
          <w:sz w:val="24"/>
          <w:szCs w:val="24"/>
        </w:rPr>
        <w:t xml:space="preserve">Распоряжение Минпросвещения России от 25.12.2019 № Р-145 «Об утверждении методологии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 определяет развитие наставничества педагогических кадров одним из ключевых направлений системы образования. По мнению авторов, наставничество является эффективным инструментом профессионального роста педагогических работников общего, среднего профессионального и дополнительного образования. В современной России существуют разнообразные практики наставничества педагогических работников, в которых сочетаются традиционные и инновационные черты.
</w:t>
      </w:r>
    </w:p>
    <w:p>
      <w:pPr>
        <w:jc w:val="both"/>
        <w:spacing w:after="0"/>
      </w:pPr>
      <w:r>
        <w:rPr>
          <w:sz w:val="24"/>
          <w:szCs w:val="24"/>
        </w:rPr>
        <w:t xml:space="preserve">Концепция развития наставничества в Российской Федерации (одобрена Решением президиума ФГБУ Российская академия образования от 29.06.2023) акцентирует внимание на том, что многообразие функций наставничества, форм его осуществления, задач, решаемых в ходе наставнической деятельности, обуславливает создание концепции и критериальной основы, раскрывающих сущностные характеристики наставничества и позволяющих выявлять эффективные наставнические практики, перспективные идеи развития наставничества в различных сферах. В то же время система наставничества пока не сложилась. Отсутствует координация между различными элементами наставничества, в том числе в системе непрерывного образования. Имеются проблемы дефицита квалифицированных кадров, готовых вести целевую подготовку наставников. Не разработаны теоретико-методологические основы наставнической деятельности с учетом современных экономических, геополитических и социально-культурных условий. Недостаточно изучены позитивные мировые практики наставничества. Все это повышает актуальность разработки и внедрения концептуальных идей развития наставничества на основе исторического анализа, инновационных педагогических подходов, современных методологических принципов, социокультурных реалий и прогнозирования. Исходя из новых требований к системе дошкольного образования, появилась необходимость создания проекта по включению всех участников образовательного процесса в единую систему взаимодействия.
</w:t>
      </w:r>
    </w:p>
    <w:p>
      <w:pPr>
        <w:jc w:val="both"/>
        <w:spacing w:after="0"/>
      </w:pPr>
      <w:r>
        <w:rPr>
          <w:sz w:val="24"/>
          <w:szCs w:val="24"/>
        </w:rPr>
        <w:t xml:space="preserve">Наставничество реализуется в различных формах, типах, моделях и техниках. Так, формы организации наставничества можно классифицировать, модифицировав подход С.Г. Вершловского, по количеству участников и степени открытости.
</w:t>
      </w:r>
    </w:p>
    <w:p>
      <w:pPr>
        <w:jc w:val="both"/>
        <w:spacing w:after="0"/>
      </w:pPr>
      <w:r>
        <w:rPr>
          <w:sz w:val="24"/>
          <w:szCs w:val="24"/>
        </w:rPr>
        <w:t xml:space="preserve">1. По количеству участников:
</w:t>
      </w:r>
    </w:p>
    <w:p>
      <w:pPr>
        <w:jc w:val="both"/>
        <w:spacing w:after="0"/>
      </w:pPr>
      <w:r>
        <w:rPr>
          <w:sz w:val="24"/>
          <w:szCs w:val="24"/>
        </w:rPr>
        <w:t xml:space="preserve">- индивидуальное (персональное) – закрепление за наставником одного наставляемого;
</w:t>
      </w:r>
    </w:p>
    <w:p>
      <w:pPr>
        <w:jc w:val="both"/>
        <w:spacing w:after="0"/>
      </w:pPr>
      <w:r>
        <w:rPr>
          <w:sz w:val="24"/>
          <w:szCs w:val="24"/>
        </w:rPr>
        <w:t xml:space="preserve">- групповое – наставничество распространяется на группу специалистов;
</w:t>
      </w:r>
    </w:p>
    <w:p>
      <w:pPr>
        <w:jc w:val="both"/>
        <w:spacing w:after="0"/>
      </w:pPr>
      <w:r>
        <w:rPr>
          <w:sz w:val="24"/>
          <w:szCs w:val="24"/>
        </w:rPr>
        <w:t xml:space="preserve">- коллективно-индивидуальное – наставничество над молодым работником
</w:t>
      </w:r>
    </w:p>
    <w:p>
      <w:pPr>
        <w:jc w:val="both"/>
        <w:spacing w:after="0"/>
      </w:pPr>
      <w:r>
        <w:rPr>
          <w:sz w:val="24"/>
          <w:szCs w:val="24"/>
        </w:rPr>
        <w:t xml:space="preserve">осуществляет структурное подразделение, трудовой коллектив, группа сотрудников;
</w:t>
      </w:r>
    </w:p>
    <w:p>
      <w:pPr>
        <w:jc w:val="both"/>
        <w:spacing w:after="0"/>
      </w:pPr>
      <w:r>
        <w:rPr>
          <w:sz w:val="24"/>
          <w:szCs w:val="24"/>
        </w:rPr>
        <w:t xml:space="preserve">- коллективно-групповое – наставничество педагогического коллектива или группы специалистов осуществляется над группой молодых работников.
</w:t>
      </w:r>
    </w:p>
    <w:p>
      <w:pPr>
        <w:jc w:val="both"/>
        <w:spacing w:after="0"/>
      </w:pPr>
      <w:r>
        <w:rPr>
          <w:sz w:val="24"/>
          <w:szCs w:val="24"/>
        </w:rPr>
        <w:t xml:space="preserve">2. По степени открытости воздействия и взаимодействия:
</w:t>
      </w:r>
    </w:p>
    <w:p>
      <w:pPr>
        <w:jc w:val="both"/>
        <w:spacing w:after="0"/>
      </w:pPr>
      <w:r>
        <w:rPr>
          <w:sz w:val="24"/>
          <w:szCs w:val="24"/>
        </w:rPr>
        <w:t xml:space="preserve">- прямое (открытое) – непосредственный контакт наставника с опекаемым, общение с ним не только в рабочее время, но и в неформальной обстановке;
</w:t>
      </w:r>
    </w:p>
    <w:p>
      <w:pPr>
        <w:jc w:val="both"/>
        <w:spacing w:after="0"/>
      </w:pPr>
      <w:r>
        <w:rPr>
          <w:sz w:val="24"/>
          <w:szCs w:val="24"/>
        </w:rPr>
        <w:t xml:space="preserve">- опосредованное (скрытое) – осуществление только формального контакта путем советов, рекомендаций наставника, личные контакты и непосредственное влияние сводятся к минимуму;
</w:t>
      </w:r>
    </w:p>
    <w:p>
      <w:pPr>
        <w:jc w:val="both"/>
        <w:spacing w:after="0"/>
      </w:pPr>
      <w:r>
        <w:rPr>
          <w:sz w:val="24"/>
          <w:szCs w:val="24"/>
        </w:rPr>
        <w:t xml:space="preserve">В системе образования чаще всего встречается индивидуальное (персональное) наставничество. Тем не менее, групповое и коллективное наставничество также имеет место, например, при освоении группой педагогов новых педагогических технологий или реализации инновационного образовательного проекта или эксперимента.
</w:t>
      </w:r>
    </w:p>
    <w:p>
      <w:pPr>
        <w:jc w:val="both"/>
        <w:spacing w:after="0"/>
      </w:pPr>
      <w:r>
        <w:rPr>
          <w:sz w:val="24"/>
          <w:szCs w:val="24"/>
        </w:rPr>
        <w:t xml:space="preserve">Любая из указанных форм наставничества может реализовываться по одному или нескольким типам, которые также могут быть классифицированы по различным. основаниям.
</w:t>
      </w:r>
    </w:p>
    <w:p>
      <w:pPr>
        <w:jc w:val="both"/>
        <w:spacing w:after="0"/>
      </w:pPr>
      <w:r>
        <w:rPr>
          <w:sz w:val="24"/>
          <w:szCs w:val="24"/>
        </w:rPr>
        <w:t xml:space="preserve">1. По содержанию деятельности:
</w:t>
      </w:r>
    </w:p>
    <w:p>
      <w:pPr>
        <w:jc w:val="both"/>
        <w:spacing w:after="0"/>
      </w:pPr>
      <w:r>
        <w:rPr>
          <w:sz w:val="24"/>
          <w:szCs w:val="24"/>
        </w:rPr>
        <w:t xml:space="preserve">- корпоративное – передача корпоративных ценностей, знакомство с историей, традициями и достижениями образовательной организации, ее лидерами, новаторами и мастерами;
</w:t>
      </w:r>
    </w:p>
    <w:p>
      <w:pPr>
        <w:jc w:val="both"/>
        <w:spacing w:after="0"/>
      </w:pPr>
      <w:r>
        <w:rPr>
          <w:sz w:val="24"/>
          <w:szCs w:val="24"/>
        </w:rPr>
        <w:t xml:space="preserve">- социально-психологическое – решение социальных и психологических проблем. молодых, начинающих или нуждающихся в конкретной помощи педагогических работников;
</w:t>
      </w:r>
    </w:p>
    <w:p>
      <w:pPr>
        <w:jc w:val="both"/>
        <w:spacing w:after="0"/>
      </w:pPr>
      <w:r>
        <w:rPr>
          <w:sz w:val="24"/>
          <w:szCs w:val="24"/>
        </w:rPr>
        <w:t xml:space="preserve">- квалификационное (наставничество-супервизия) – профессиональное сопровождение молодых, начинающих или нуждающихся в конкретной помощи педагогов в процессе их корпоративного обучения, направленного на повышение профессиональной компетентности;
</w:t>
      </w:r>
    </w:p>
    <w:p>
      <w:pPr>
        <w:jc w:val="both"/>
        <w:spacing w:after="0"/>
      </w:pPr>
      <w:r>
        <w:rPr>
          <w:sz w:val="24"/>
          <w:szCs w:val="24"/>
        </w:rPr>
        <w:t xml:space="preserve">- комплементарное – дополняющее межпрофессиональное взаимодействие. наставляемых и наставников, способствующее формированию коллективного знания и/или опыта.
</w:t>
      </w:r>
    </w:p>
    <w:p>
      <w:pPr>
        <w:jc w:val="both"/>
        <w:spacing w:after="0"/>
      </w:pPr>
      <w:r>
        <w:rPr>
          <w:sz w:val="24"/>
          <w:szCs w:val="24"/>
        </w:rPr>
        <w:t xml:space="preserve">2. По временным характеристикам:
</w:t>
      </w:r>
    </w:p>
    <w:p>
      <w:pPr>
        <w:jc w:val="both"/>
        <w:spacing w:after="0"/>
      </w:pPr>
      <w:r>
        <w:rPr>
          <w:sz w:val="24"/>
          <w:szCs w:val="24"/>
        </w:rPr>
        <w:t xml:space="preserve">- эпизодическое (ситуационное) – временное, фрагментарное осуществление наставничества в связи с внедрением в практику новых документов, педагогических технологий или методик; оказание актуальной в данный момент для подшефного методической, психологической, практической помощи;
</w:t>
      </w:r>
    </w:p>
    <w:p>
      <w:pPr>
        <w:jc w:val="both"/>
        <w:spacing w:after="0"/>
      </w:pPr>
      <w:r>
        <w:rPr>
          <w:sz w:val="24"/>
          <w:szCs w:val="24"/>
        </w:rPr>
        <w:t xml:space="preserve">- периодическое – дискретный характер осуществления наставничества в связи с периодическим введением сотрудников в новую должность;
</w:t>
      </w:r>
    </w:p>
    <w:p>
      <w:pPr>
        <w:jc w:val="both"/>
        <w:spacing w:after="0"/>
      </w:pPr>
      <w:r>
        <w:rPr>
          <w:sz w:val="24"/>
          <w:szCs w:val="24"/>
        </w:rPr>
        <w:t xml:space="preserve">- систематическое – постоянный и преемственный характер обновления интеллектуальной базы кадрового состава в связи с нарастающей информационной составляющей и модернизационными процессами в образовании.
</w:t>
      </w:r>
    </w:p>
    <w:p>
      <w:pPr>
        <w:jc w:val="both"/>
        <w:spacing w:after="0"/>
      </w:pPr>
      <w:r>
        <w:rPr>
          <w:sz w:val="24"/>
          <w:szCs w:val="24"/>
        </w:rPr>
        <w:t xml:space="preserve">3. По уровню формализации:
</w:t>
      </w:r>
    </w:p>
    <w:p>
      <w:pPr>
        <w:jc w:val="both"/>
        <w:spacing w:after="0"/>
      </w:pPr>
      <w:r>
        <w:rPr>
          <w:sz w:val="24"/>
          <w:szCs w:val="24"/>
        </w:rPr>
        <w:t xml:space="preserve">- формальное наставничество: основано на формальных процедурах и правилах наставничества, объяснении наставляемому целей и содержания работы и обучении его в рамках специальных тренингов. В этом смысле наставничество близко менторингу.
</w:t>
      </w:r>
    </w:p>
    <w:p>
      <w:pPr>
        <w:jc w:val="both"/>
        <w:spacing w:after="0"/>
      </w:pPr>
      <w:r>
        <w:rPr>
          <w:sz w:val="24"/>
          <w:szCs w:val="24"/>
        </w:rPr>
        <w:t xml:space="preserve">- неформальное наставничество: добровольное шефство над коллегой, личная ответственность за его успехи и неудачи без документального оформления и финансового вознаграждения.
</w:t>
      </w:r>
    </w:p>
    <w:p>
      <w:pPr>
        <w:jc w:val="both"/>
        <w:spacing w:after="0"/>
      </w:pPr>
      <w:r>
        <w:rPr>
          <w:sz w:val="24"/>
          <w:szCs w:val="24"/>
        </w:rPr>
        <w:t xml:space="preserve">Очевидно, что в реальности формы и типы наставничества могут сочетаться в различных вариантах, выполняя при этом следующие основные функции:
</w:t>
      </w:r>
    </w:p>
    <w:p>
      <w:pPr>
        <w:jc w:val="both"/>
        <w:spacing w:after="0"/>
      </w:pPr>
      <w:r>
        <w:rPr>
          <w:sz w:val="24"/>
          <w:szCs w:val="24"/>
        </w:rPr>
        <w:t xml:space="preserve">- адаптационную – приобщение к традициям, культуре, правилам общения, стандартам и пр. особенностям функционирования образовательной организации;
</w:t>
      </w:r>
    </w:p>
    <w:p>
      <w:pPr>
        <w:jc w:val="both"/>
        <w:spacing w:after="0"/>
      </w:pPr>
      <w:r>
        <w:rPr>
          <w:sz w:val="24"/>
          <w:szCs w:val="24"/>
        </w:rPr>
        <w:t xml:space="preserve">- диагностическую – выявление проблемных полей и конкретных профессиональных (компетентностных) дефицитов у членов педагогического коллектива;
</w:t>
      </w:r>
    </w:p>
    <w:p>
      <w:pPr>
        <w:jc w:val="both"/>
        <w:spacing w:after="0"/>
      </w:pPr>
      <w:r>
        <w:rPr>
          <w:sz w:val="24"/>
          <w:szCs w:val="24"/>
        </w:rPr>
        <w:t xml:space="preserve">- интеграционную – включение в планирование, организацию, контроль и оценку процесса и результатов профессионального роста;
</w:t>
      </w:r>
    </w:p>
    <w:p>
      <w:pPr>
        <w:jc w:val="both"/>
        <w:spacing w:after="0"/>
      </w:pPr>
      <w:r>
        <w:rPr>
          <w:sz w:val="24"/>
          <w:szCs w:val="24"/>
        </w:rPr>
        <w:t xml:space="preserve">- консультационно-дидактическую – оказание теоретической и практической помощи и поддержки, использования для этого адекватные психолого-педагогические
</w:t>
      </w:r>
    </w:p>
    <w:p>
      <w:pPr>
        <w:jc w:val="both"/>
        <w:spacing w:after="0"/>
      </w:pPr>
      <w:r>
        <w:rPr>
          <w:sz w:val="24"/>
          <w:szCs w:val="24"/>
        </w:rPr>
        <w:t xml:space="preserve">формы, средства, методы и приемы;
</w:t>
      </w:r>
    </w:p>
    <w:p>
      <w:pPr>
        <w:jc w:val="both"/>
        <w:spacing w:after="0"/>
      </w:pPr>
      <w:r>
        <w:rPr>
          <w:sz w:val="24"/>
          <w:szCs w:val="24"/>
        </w:rPr>
        <w:t xml:space="preserve">- стимулирующую – мотивация наставляемого, внесение в администрацию предложений о поощрении его успехов и карьерном продвижении;
</w:t>
      </w:r>
    </w:p>
    <w:p>
      <w:pPr>
        <w:jc w:val="both"/>
        <w:spacing w:after="0"/>
      </w:pPr>
      <w:r>
        <w:rPr>
          <w:sz w:val="24"/>
          <w:szCs w:val="24"/>
        </w:rPr>
        <w:t xml:space="preserve">- аналитическую – анализ и оценка результатов наставничества, достигнутых успехов и нерешенных проблем;
</w:t>
      </w:r>
    </w:p>
    <w:p>
      <w:pPr>
        <w:jc w:val="both"/>
        <w:spacing w:after="0"/>
      </w:pPr>
      <w:r>
        <w:rPr>
          <w:sz w:val="24"/>
          <w:szCs w:val="24"/>
        </w:rPr>
        <w:t xml:space="preserve">- диссеминационную – изучение, анализ и распространение лучших образовательных практик;
</w:t>
      </w:r>
    </w:p>
    <w:p>
      <w:pPr>
        <w:jc w:val="both"/>
        <w:spacing w:after="0"/>
      </w:pPr>
      <w:r>
        <w:rPr>
          <w:sz w:val="24"/>
          <w:szCs w:val="24"/>
        </w:rPr>
        <w:t xml:space="preserve">- социально-психологическую – содействие созданию благоприятной обстановки для адаптации молодых специалистов и/или новых членов педагогического коллектива, позитивного отношения к ним. 
</w:t>
      </w:r>
    </w:p>
    <w:p>
      <w:pPr>
        <w:jc w:val="both"/>
        <w:spacing w:after="0"/>
      </w:pPr>
      <w:r>
        <w:rPr>
          <w:sz w:val="24"/>
          <w:szCs w:val="24"/>
        </w:rPr>
        <w:t xml:space="preserve">Наставничество молодых педагогов в детском саду представляет собой важный инструмент, способствующий их профессиональному росту и развитию. Оно основывается на принципах взаимопонимания, доверия и поддержки, которые создают благоприятную атмосферу для обмена опытом и знаниями. Наставники, обладая значительным опытом, могут передавать молодежи не только методические навыки, но и психологические аспекты взаимодействия с детьми и родителями.
</w:t>
      </w:r>
    </w:p>
    <w:p>
      <w:pPr>
        <w:jc w:val="both"/>
        <w:spacing w:after="0"/>
      </w:pPr>
      <w:r>
        <w:rPr>
          <w:sz w:val="24"/>
          <w:szCs w:val="24"/>
        </w:rPr>
        <w:t xml:space="preserve">В рамках наставничества предусмотрены регулярные встречи, семинары и мастер-классы, где молодые педагоги могут задавать вопросы, обсуждать сложности, с которыми сталкиваются в работе, и получать ценные советы от более опытных коллег. Такой подход помогает избежать выгорания, повышает уверенность в собственных силах и формирует профессиональную идентичность.
</w:t>
      </w:r>
    </w:p>
    <w:p>
      <w:pPr>
        <w:jc w:val="both"/>
        <w:spacing w:after="0"/>
      </w:pPr>
      <w:r>
        <w:rPr>
          <w:sz w:val="24"/>
          <w:szCs w:val="24"/>
        </w:rPr>
        <w:t xml:space="preserve">Кроме того, внедрение системы наставничества благоприятно сказывается на коллективе в целом, создавая единый подход к воспитанию и обучению малышей. Это способствует формированию единого педагогического пространства, где каждый участник процесса чувствует свою значимость и ценность. Таким образом, модель наставничества является ключом к успешному развитию образовательной среды в детском саду.
</w:t>
      </w:r>
    </w:p>
    <w:p>
      <w:pPr>
        <w:jc w:val="both"/>
        <w:spacing w:after="0"/>
      </w:pPr>
      <w:r>
        <w:rPr>
          <w:sz w:val="24"/>
          <w:szCs w:val="24"/>
        </w:rPr>
        <w:t xml:space="preserve">Наставничество педагогов со стажем в детском саду — важный аспект профессионального развития как начинающих специалистов, так и опытных преподавателей. Эти отношения позволяют передавать ценные знания, педагогические приемы и методические рекомендации, что способствует созданию гармоничной образовательной среды. Наставники, обладая богатым опытом, могут делиться своими истинами, которые порой недоступны для новичков.
</w:t>
      </w:r>
    </w:p>
    <w:p>
      <w:pPr>
        <w:jc w:val="both"/>
        <w:spacing w:after="0"/>
      </w:pPr>
      <w:r>
        <w:rPr>
          <w:sz w:val="24"/>
          <w:szCs w:val="24"/>
        </w:rPr>
        <w:t xml:space="preserve">Кроме того, наставничество создает пространство для открытого общения, где молодые педагоги могут задавать вопросы, делиться своими переживаниями и получать поддержку. Это формирует доверительную атмосферу, способствующую росту и развитию обеих сторон. Наставники, встречаясь с новыми подходами и свежими идеями, также обогащаются опытом, что подчеркивает взаимовыгодность данного процесса.
</w:t>
      </w:r>
    </w:p>
    <w:p>
      <w:pPr>
        <w:jc w:val="both"/>
        <w:spacing w:after="0"/>
      </w:pPr>
      <w:r>
        <w:rPr>
          <w:sz w:val="24"/>
          <w:szCs w:val="24"/>
        </w:rPr>
        <w:t xml:space="preserve">Важным аспектом является регулярная обратная связь: конструктивная критика и похвала помогают выявить сильные и слабые стороны, способствуют профессиональному росту. Таким образом, наставничество становится мощным инструментом не только для повышения качества образования, но и для формирования крепкого сообщества, готового к постоянному развитию и обмену опытом.
</w:t>
      </w:r>
    </w:p>
    <w:p>
      <w:pPr>
        <w:jc w:val="both"/>
        <w:spacing w:after="0"/>
      </w:pPr>
      <w:r>
        <w:rPr>
          <w:sz w:val="24"/>
          <w:szCs w:val="24"/>
        </w:rPr>
        <w:t xml:space="preserve">Таким образом, разработка и внедрение программ наставничества в детских садах являются не только актуальными, но и необходимыми для успешного развития образовательной системы в целом.
</w:t>
      </w:r>
    </w:p>
    <w:p>
      <w:pPr>
        <w:jc w:val="both"/>
        <w:spacing w:after="0"/>
      </w:pPr>
      <w:r>
        <w:rPr>
          <w:sz w:val="24"/>
          <w:szCs w:val="24"/>
        </w:rPr>
        <w:t xml:space="preserve">Повышение профессиональной компетентности и квалификации педагога в условиях ДОУ будет проходить эффективней при условии создания модели наставничества, при которой не только опытные специалисты делятся своими знаниями и практиками с менее опытными коллегами, но и молодые педагоги способствуют повышению профессиональных знаний у опытных коллег. Эта модель служит не только для передачи профессиональных навыков, но и для формирования устойчивых отношений доверия и взаимопомощи в коллективе. .Возникла необходимость в разработке и реализации проекта по внедрению модели наставничества, которая включала бы в себя различные формы наставничества и была бы эффективна как для молодых педагогов, так и специалистов со средним и большим стажем работы. 
</w:t>
      </w:r>
    </w:p>
    <w:p>
      <w:pPr>
        <w:jc w:val="both"/>
        <w:spacing w:after="0"/>
      </w:pPr>
      <w:r>
        <w:rPr>
          <w:sz w:val="24"/>
          <w:szCs w:val="24"/>
        </w:rPr>
        <w:t xml:space="preserve">Проанализировав форматы наставнических практик, для разработки модели наставничества мы остановились на трех из них:
</w:t>
      </w:r>
    </w:p>
    <w:p>
      <w:pPr>
        <w:jc w:val="both"/>
        <w:spacing w:after="0"/>
      </w:pPr>
      <w:r>
        <w:rPr>
          <w:sz w:val="24"/>
          <w:szCs w:val="24"/>
        </w:rPr>
        <w:t xml:space="preserve">Реверсивное наставничество – молодой специалист становится наставником опытного педагога по вопросам новых тенденций, технологий. Реверсивное наставничество (наставничество «наоборот») полезно не только наставляемому для ликвидации трудностей, но и наставнику для повышения самооценки и формирования положительного имиджа в ДОУ. Именно поэтому целесообразно привлекать к такой деятельности молодых, начинающих педагогов, для того чтобы они почувствовали себя успешными в роли наставников в той деятельности, где у них хорошо получается. 
</w:t>
      </w:r>
    </w:p>
    <w:p>
      <w:pPr>
        <w:jc w:val="both"/>
        <w:spacing w:after="0"/>
      </w:pPr>
      <w:r>
        <w:rPr>
          <w:sz w:val="24"/>
          <w:szCs w:val="24"/>
        </w:rPr>
        <w:t xml:space="preserve">Флеш-наставничество – взаимодействие с профессионалом высокого уровня в определенной области деятельности. Флеш-наставник делится опытом и дает рекомендации наставляемому. Взаимодействие может быть краткосрочным и регулярным, Флеш-наставничество уместно в больших образовательных организациях, где присутствуют различные категории сотрудников – опытные и начинающие.
</w:t>
      </w:r>
    </w:p>
    <w:p>
      <w:pPr>
        <w:jc w:val="both"/>
        <w:spacing w:after="0"/>
      </w:pPr>
      <w:r>
        <w:rPr>
          <w:sz w:val="24"/>
          <w:szCs w:val="24"/>
        </w:rPr>
        <w:t xml:space="preserve">Тьюториал – это активное групповое обучение, направленное на развитие мыслительных, коммуникативных и рефлексивных данных педагогов. Это открытое занятие с применением методов интерактивного и интенсивного обучения. Тьюториал также имеет своей целью разнообразить процесс наставничества, активизировать деятельность молодых специалистов, вызвать проявление творческих способностей, теоретических знаний на практике. В роли ведущих тьюториала выступают наставники, осуществляющие сопровождение наставляемых. Иногда ведущими тьюториала могут быть старшие обучающиеся, имеющие опыт в данной области знаний. Такая работа способствует овладению индивидуальной и групповой рефлексией, выработке критериев оценки результатов эффективности индивидуальной и групповой работы.</w:t>
      </w:r>
    </w:p>
    <w:p>
      <w:pPr>
        <w:jc w:val="left"/>
      </w:pPr>
      <w:r>
        <w:rPr>
          <w:sz w:val="28"/>
          <w:szCs w:val="28"/>
          <w:b w:val="1"/>
          <w:bCs w:val="1"/>
        </w:rPr>
        <w:t xml:space="preserve">Этап 1 - 31.03.2025</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01.01.2025</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31.03.2025</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Содержание организационной и практической работы
</w:t>
            </w:r>
          </w:p>
          <w:p>
            <w:pPr>
              <w:jc w:val="both"/>
              <w:spacing w:after="0"/>
            </w:pPr>
            <w:r>
              <w:rPr>
                <w:sz w:val="24"/>
                <w:szCs w:val="24"/>
              </w:rPr>
              <w:t xml:space="preserve">-	Актуализация документов по реализации модели наставничества (шаблоны приказов, договор, положение о наставничестве и др.)
</w:t>
            </w:r>
          </w:p>
          <w:p>
            <w:pPr>
              <w:jc w:val="both"/>
              <w:spacing w:after="0"/>
            </w:pPr>
            <w:r>
              <w:rPr>
                <w:sz w:val="24"/>
                <w:szCs w:val="24"/>
              </w:rPr>
              <w:t xml:space="preserve">-	Определение профессиональных дефицитов педагогов МАДОУ с использованием ресурса АО ИОО https://lk.onedu.ru/profile/itp.
</w:t>
            </w:r>
          </w:p>
          <w:p>
            <w:pPr>
              <w:jc w:val="both"/>
              <w:spacing w:after="0"/>
            </w:pPr>
            <w:r>
              <w:rPr>
                <w:sz w:val="24"/>
                <w:szCs w:val="24"/>
              </w:rPr>
              <w:t xml:space="preserve">- Определение результатов реализации проекта, которых необходимо достичь, а также промежуточных этапов для их достижения.
</w:t>
            </w:r>
          </w:p>
          <w:p>
            <w:pPr>
              <w:jc w:val="both"/>
              <w:spacing w:after="0"/>
            </w:pPr>
            <w:r>
              <w:rPr>
                <w:sz w:val="24"/>
                <w:szCs w:val="24"/>
              </w:rPr>
              <w:t xml:space="preserve">- Разработка плана действий с учетом сроков, ответственных лиц, последовательности операций и возможных рисков.
</w:t>
            </w:r>
          </w:p>
          <w:p>
            <w:pPr>
              <w:jc w:val="both"/>
              <w:spacing w:after="0"/>
            </w:pPr>
            <w:r>
              <w:rPr>
                <w:sz w:val="24"/>
                <w:szCs w:val="24"/>
              </w:rPr>
              <w:t xml:space="preserve">- Создание системы взаимодействия между участниками, определение методов контроля и отчетности.
</w:t>
            </w:r>
          </w:p>
          <w:p>
            <w:pPr>
              <w:jc w:val="both"/>
              <w:spacing w:after="0"/>
            </w:pPr>
            <w:r>
              <w:rPr>
                <w:sz w:val="24"/>
                <w:szCs w:val="24"/>
              </w:rPr>
              <w:t xml:space="preserve">- Создание инфраструктуры. Обеспечение необходимой технической базы (оборудование, программное обеспечение) и рабочих мест для выполнения задач.
</w:t>
            </w:r>
          </w:p>
          <w:p>
            <w:pPr>
              <w:jc w:val="both"/>
              <w:spacing w:after="0"/>
            </w:pPr>
            <w:r>
              <w:rPr>
                <w:sz w:val="24"/>
                <w:szCs w:val="24"/>
              </w:rPr>
              <w:t xml:space="preserve">
</w:t>
            </w:r>
          </w:p>
          <w:p>
            <w:pPr>
              <w:jc w:val="both"/>
              <w:spacing w:after="0"/>
            </w:pPr>
            <w:r>
              <w:rPr>
                <w:sz w:val="24"/>
                <w:szCs w:val="24"/>
              </w:rPr>
              <w:t xml:space="preserve">Содержание аналитической и методической работы
</w:t>
            </w:r>
          </w:p>
          <w:p>
            <w:pPr>
              <w:jc w:val="both"/>
              <w:spacing w:after="0"/>
            </w:pPr>
            <w:r>
              <w:rPr>
                <w:sz w:val="24"/>
                <w:szCs w:val="24"/>
              </w:rPr>
              <w:t xml:space="preserve">-	Анализ ресурсов. Оценка имеющихся материальных, финансовых, человеческих и информационных ресурсов, необходимых для реализации проекта или задачи.
</w:t>
            </w:r>
          </w:p>
          <w:p>
            <w:pPr>
              <w:jc w:val="both"/>
              <w:spacing w:after="0"/>
            </w:pPr>
            <w:r>
              <w:rPr>
                <w:sz w:val="24"/>
                <w:szCs w:val="24"/>
              </w:rPr>
              <w:t xml:space="preserve">-	Анализ слабых и сильных стороны кадрового состава МАДОУ в рамках наставнических практик, барьеры и ограничения, мешающие реализации проекта.
</w:t>
            </w:r>
          </w:p>
          <w:p>
            <w:pPr>
              <w:jc w:val="both"/>
              <w:spacing w:after="0"/>
            </w:pPr>
            <w:r>
              <w:rPr>
                <w:sz w:val="24"/>
                <w:szCs w:val="24"/>
              </w:rPr>
              <w:t xml:space="preserve">- Мотивация участников. Стимулирование работников к эффективному выполнению своих обязанностей через материальные и нематериальные поощрения.
</w:t>
            </w:r>
          </w:p>
          <w:p>
            <w:pPr>
              <w:jc w:val="both"/>
              <w:spacing w:after="0"/>
            </w:pPr>
            <w:r>
              <w:rPr>
                <w:sz w:val="24"/>
                <w:szCs w:val="24"/>
              </w:rPr>
              <w:t xml:space="preserve">- Оценка рисков. Идентификация потенциальных проблем и разработка мер по их предотвращению или минимизации последствий
</w:t>
            </w:r>
          </w:p>
          <w:p>
            <w:pPr>
              <w:jc w:val="both"/>
              <w:spacing w:after="0"/>
            </w:pPr>
            <w:r>
              <w:rPr>
                <w:sz w:val="24"/>
                <w:szCs w:val="24"/>
              </w:rPr>
              <w:t xml:space="preserve">
</w:t>
            </w:r>
          </w:p>
          <w:p>
            <w:pPr>
              <w:jc w:val="both"/>
              <w:spacing w:after="0"/>
            </w:pPr>
            <w:r>
              <w:rPr>
                <w:sz w:val="24"/>
                <w:szCs w:val="24"/>
              </w:rPr>
              <w:t xml:space="preserve">Методы деятельности организационного этапа
</w:t>
            </w:r>
          </w:p>
          <w:p>
            <w:pPr>
              <w:jc w:val="both"/>
              <w:spacing w:after="0"/>
            </w:pPr>
            <w:r>
              <w:rPr>
                <w:sz w:val="24"/>
                <w:szCs w:val="24"/>
              </w:rPr>
              <w:t xml:space="preserve">Методы планирования: используется для визуализации взаимосвязей между задачами и определения критического пути.
</w:t>
            </w:r>
          </w:p>
          <w:p>
            <w:pPr>
              <w:jc w:val="both"/>
              <w:spacing w:after="0"/>
            </w:pPr>
            <w:r>
              <w:rPr>
                <w:sz w:val="24"/>
                <w:szCs w:val="24"/>
              </w:rPr>
              <w:t xml:space="preserve">Методы мотивации: материальная мотивация (премии, бонусы, повышение заработной платы); нематериальная мотивация: признание заслуг, карьерный рост, предоставление дополнительных льгот.
</w:t>
            </w:r>
          </w:p>
          <w:p>
            <w:pPr>
              <w:jc w:val="both"/>
              <w:spacing w:after="0"/>
            </w:pPr>
            <w:r>
              <w:rPr>
                <w:sz w:val="24"/>
                <w:szCs w:val="24"/>
              </w:rPr>
              <w:t xml:space="preserve">Методы управления рисками: выявление возможных негативных событий, анализ вероятности возникновения риска и его потенциального влияния на проект, планирование мероприятий по снижению рисков.
</w:t>
            </w:r>
          </w:p>
          <w:p>
            <w:pPr>
              <w:jc w:val="both"/>
              <w:spacing w:after="0"/>
            </w:pPr>
            <w:r>
              <w:rPr>
                <w:sz w:val="24"/>
                <w:szCs w:val="24"/>
              </w:rPr>
              <w:t xml:space="preserve">Методы контроля: мониторинг прогресса (регулярная проверка выполнения задач и сравнение с плановыми показателями).
</w:t>
            </w:r>
          </w:p>
          <w:p>
            <w:pPr>
              <w:jc w:val="both"/>
              <w:spacing w:after="0"/>
            </w:pPr>
            <w:r>
              <w:rPr>
                <w:sz w:val="24"/>
                <w:szCs w:val="24"/>
              </w:rPr>
              <w:t xml:space="preserve">Методы коммуникации: личные встречи и совещания, обсуждение текущих вопросов и решений.
</w:t>
            </w:r>
          </w:p>
          <w:p>
            <w:pPr>
              <w:jc w:val="both"/>
              <w:spacing w:after="0"/>
            </w:pPr>
            <w:r>
              <w:rPr>
                <w:sz w:val="24"/>
                <w:szCs w:val="24"/>
              </w:rPr>
              <w:t xml:space="preserve">Электронные средства связи: использование электронной почты, мессенджеров и других цифровых платформ для обмена информацией.
</w:t>
            </w:r>
          </w:p>
          <w:p>
            <w:pPr>
              <w:jc w:val="both"/>
              <w:spacing w:after="0"/>
            </w:pPr>
            <w:r>
              <w:rPr>
                <w:sz w:val="24"/>
                <w:szCs w:val="24"/>
              </w:rPr>
              <w:t xml:space="preserve">В рамках организационного этапа проходит разработка необходимого диагностического и методического сопровождения реализации проекта.</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Прогнозируемые результаты организационного этапа:
</w:t>
            </w:r>
          </w:p>
          <w:p>
            <w:pPr>
              <w:jc w:val="both"/>
              <w:spacing w:after="0"/>
            </w:pPr>
            <w:r>
              <w:rPr>
                <w:sz w:val="24"/>
                <w:szCs w:val="24"/>
              </w:rPr>
              <w:t xml:space="preserve">- Разработан детальный план действий, включающий этапы, сроки, ответственные лица и ресурсы.
</w:t>
            </w:r>
          </w:p>
          <w:p>
            <w:pPr>
              <w:jc w:val="both"/>
              <w:spacing w:after="0"/>
            </w:pPr>
            <w:r>
              <w:rPr>
                <w:sz w:val="24"/>
                <w:szCs w:val="24"/>
              </w:rPr>
              <w:t xml:space="preserve">- Определены основные цели и задачи, которые необходимо достичь.
</w:t>
            </w:r>
          </w:p>
          <w:p>
            <w:pPr>
              <w:jc w:val="both"/>
              <w:spacing w:after="0"/>
            </w:pPr>
            <w:r>
              <w:rPr>
                <w:sz w:val="24"/>
                <w:szCs w:val="24"/>
              </w:rPr>
              <w:t xml:space="preserve">- Создана система мониторинга и контроля за выполнением задач. 
</w:t>
            </w:r>
          </w:p>
          <w:p>
            <w:pPr>
              <w:jc w:val="both"/>
              <w:spacing w:after="0"/>
            </w:pPr>
            <w:r>
              <w:rPr>
                <w:sz w:val="24"/>
                <w:szCs w:val="24"/>
              </w:rPr>
              <w:t xml:space="preserve">- Проведен анализ и оценка доступных ресурсов (материальных, финансовых, человеческих), необходимых для выполнения задач.
</w:t>
            </w:r>
          </w:p>
          <w:p>
            <w:pPr>
              <w:jc w:val="both"/>
              <w:spacing w:after="0"/>
            </w:pPr>
            <w:r>
              <w:rPr>
                <w:sz w:val="24"/>
                <w:szCs w:val="24"/>
              </w:rPr>
              <w:t xml:space="preserve">- Приняты решения о распределении ресурсов в зависимости от приоритетности задач.
</w:t>
            </w:r>
          </w:p>
          <w:p>
            <w:pPr>
              <w:jc w:val="both"/>
              <w:spacing w:after="0"/>
            </w:pPr>
            <w:r>
              <w:rPr>
                <w:sz w:val="24"/>
                <w:szCs w:val="24"/>
              </w:rPr>
              <w:t xml:space="preserve">- Составлена необходимая документация, регламентирующая деятельность (планы, графики, сметы, инструкции и др.).
</w:t>
            </w:r>
          </w:p>
          <w:p>
            <w:pPr>
              <w:jc w:val="both"/>
              <w:spacing w:after="0"/>
            </w:pPr>
            <w:r>
              <w:rPr>
                <w:sz w:val="24"/>
                <w:szCs w:val="24"/>
              </w:rPr>
              <w:t xml:space="preserve">- Утверждены стандарты отчетности и формы представления информации.
</w:t>
            </w:r>
          </w:p>
          <w:p>
            <w:pPr>
              <w:jc w:val="both"/>
              <w:spacing w:after="0"/>
            </w:pPr>
            <w:r>
              <w:rPr>
                <w:sz w:val="24"/>
                <w:szCs w:val="24"/>
              </w:rPr>
              <w:t xml:space="preserve">- Идентифицированы возможные риски и угрозы, способные повлиять на успех проекта.
</w:t>
            </w:r>
          </w:p>
          <w:p>
            <w:pPr>
              <w:jc w:val="both"/>
              <w:spacing w:after="0"/>
            </w:pPr>
            <w:r>
              <w:rPr>
                <w:sz w:val="24"/>
                <w:szCs w:val="24"/>
              </w:rPr>
              <w:t xml:space="preserve">- Разработаны стратегии управления рисками и планы на случай непредвиденных обстоятельств.
</w:t>
            </w:r>
          </w:p>
          <w:p>
            <w:pPr>
              <w:jc w:val="both"/>
              <w:spacing w:after="0"/>
            </w:pPr>
            <w:r>
              <w:rPr>
                <w:sz w:val="24"/>
                <w:szCs w:val="24"/>
              </w:rPr>
              <w:t xml:space="preserve">- Определена система мотивации для участников проекта/деятельности (материальная и/или нематериальная).
</w:t>
            </w:r>
          </w:p>
          <w:p>
            <w:pPr>
              <w:jc w:val="both"/>
              <w:spacing w:after="0"/>
            </w:pPr>
            <w:r>
              <w:rPr>
                <w:sz w:val="24"/>
                <w:szCs w:val="24"/>
              </w:rPr>
              <w:t xml:space="preserve">- Выработаны механизмы стимулирования сотрудников к достижению высоких результатов.
</w:t>
            </w:r>
          </w:p>
          <w:p>
            <w:pPr>
              <w:jc w:val="both"/>
              <w:spacing w:after="0"/>
            </w:pPr>
            <w:r>
              <w:rPr>
                <w:sz w:val="24"/>
                <w:szCs w:val="24"/>
              </w:rPr>
              <w:t xml:space="preserve">- Определены профессиональные дефициты педагогов МАДОУ;
</w:t>
            </w:r>
          </w:p>
          <w:p>
            <w:pPr>
              <w:jc w:val="both"/>
              <w:spacing w:after="0"/>
            </w:pPr>
            <w:r>
              <w:rPr>
                <w:sz w:val="24"/>
                <w:szCs w:val="24"/>
              </w:rPr>
              <w:t xml:space="preserve">- Разработана модель наставничества с учетом потребностей педагогического сообщества МАДОУ;
</w:t>
            </w:r>
          </w:p>
          <w:p>
            <w:pPr>
              <w:jc w:val="both"/>
              <w:spacing w:after="0"/>
            </w:pPr>
            <w:r>
              <w:rPr>
                <w:sz w:val="24"/>
                <w:szCs w:val="24"/>
              </w:rPr>
              <w:t xml:space="preserve">- Сформирован реестр педагогов-наставников на уровне МАДОУ.</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 проанализирована литература по проблеме наставничества в ДОУ;
</w:t>
            </w:r>
          </w:p>
          <w:p>
            <w:pPr>
              <w:jc w:val="both"/>
              <w:spacing w:after="0"/>
            </w:pPr>
            <w:r>
              <w:rPr>
                <w:sz w:val="24"/>
                <w:szCs w:val="24"/>
              </w:rPr>
              <w:t xml:space="preserve">- проведен анализ имеющихся локально-нормативных актов по проблеме наставничества, дополнение их иными актами (по мере необходимости);
</w:t>
            </w:r>
          </w:p>
          <w:p>
            <w:pPr>
              <w:jc w:val="both"/>
              <w:spacing w:after="0"/>
            </w:pPr>
            <w:r>
              <w:rPr>
                <w:sz w:val="24"/>
                <w:szCs w:val="24"/>
              </w:rPr>
              <w:t xml:space="preserve">- определены форматы работы в рамках проекта (индивидуальное наставничество, флеш-наставничество, реверсивное наставничество);
</w:t>
            </w:r>
          </w:p>
          <w:p>
            <w:pPr>
              <w:jc w:val="both"/>
              <w:spacing w:after="0"/>
            </w:pPr>
            <w:r>
              <w:rPr>
                <w:sz w:val="24"/>
                <w:szCs w:val="24"/>
              </w:rPr>
              <w:t xml:space="preserve">- педагоги ДОУ прошли диагностику профессиональных дефицитов педагогов с использованием ресурса АО ИОО https://lk.onedu.ru/profile/itp/
</w:t>
            </w:r>
          </w:p>
          <w:p>
            <w:pPr>
              <w:jc w:val="both"/>
              <w:spacing w:after="0"/>
            </w:pPr>
            <w:r>
              <w:rPr>
                <w:sz w:val="24"/>
                <w:szCs w:val="24"/>
              </w:rPr>
              <w:t xml:space="preserve">- графически построена модель наставничества, осуществляется ее корректировка при необходимости</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spacing w:after="0"/>
            </w:pPr>
            <w:r>
              <w:rPr>
                <w:sz w:val="24"/>
                <w:szCs w:val="24"/>
              </w:rPr>
              <w:t xml:space="preserve">1. Организационные условия
</w:t>
            </w:r>
          </w:p>
          <w:p>
            <w:pPr>
              <w:jc w:val="both"/>
              <w:spacing w:after="0"/>
            </w:pPr>
            <w:r>
              <w:rPr>
                <w:sz w:val="24"/>
                <w:szCs w:val="24"/>
              </w:rPr>
              <w:t xml:space="preserve">- Руководство проектом.
</w:t>
            </w:r>
          </w:p>
          <w:p>
            <w:pPr>
              <w:jc w:val="both"/>
              <w:spacing w:after="0"/>
            </w:pPr>
            <w:r>
              <w:rPr>
                <w:sz w:val="24"/>
                <w:szCs w:val="24"/>
              </w:rPr>
              <w:t xml:space="preserve">- Команда проекта: подбор компетентной и мотивированной команды, состоящей из специалистов различных профилей, способных эффективно выполнять свои задачи.
</w:t>
            </w:r>
          </w:p>
          <w:p>
            <w:pPr>
              <w:jc w:val="both"/>
              <w:spacing w:after="0"/>
            </w:pPr>
            <w:r>
              <w:rPr>
                <w:sz w:val="24"/>
                <w:szCs w:val="24"/>
              </w:rPr>
              <w:t xml:space="preserve">- Организационная структура: четкое распределение ролей и ответственности среди участников проекта, а также наличие эффективных механизмов взаимодействия и принятия решений.
</w:t>
            </w:r>
          </w:p>
          <w:p>
            <w:pPr>
              <w:jc w:val="both"/>
              <w:spacing w:after="0"/>
            </w:pPr>
            <w:r>
              <w:rPr>
                <w:sz w:val="24"/>
                <w:szCs w:val="24"/>
              </w:rPr>
              <w:t xml:space="preserve">2. Технические условия
</w:t>
            </w:r>
          </w:p>
          <w:p>
            <w:pPr>
              <w:jc w:val="both"/>
              <w:spacing w:after="0"/>
            </w:pPr>
            <w:r>
              <w:rPr>
                <w:sz w:val="24"/>
                <w:szCs w:val="24"/>
              </w:rPr>
              <w:t xml:space="preserve">- Наличие необходимого оборудования, программного обеспечения и технических средств для выполнения задач проекта.
</w:t>
            </w:r>
          </w:p>
          <w:p>
            <w:pPr>
              <w:jc w:val="both"/>
              <w:spacing w:after="0"/>
            </w:pPr>
            <w:r>
              <w:rPr>
                <w:sz w:val="24"/>
                <w:szCs w:val="24"/>
              </w:rPr>
              <w:t xml:space="preserve">3. Юридические условия
</w:t>
            </w:r>
          </w:p>
          <w:p>
            <w:pPr>
              <w:jc w:val="both"/>
              <w:spacing w:after="0"/>
            </w:pPr>
            <w:r>
              <w:rPr>
                <w:sz w:val="24"/>
                <w:szCs w:val="24"/>
              </w:rPr>
              <w:t xml:space="preserve">- Правовая база: соблюдение всех нормативных актов и законодательных требований, касающихся выполнения проекта.
</w:t>
            </w:r>
          </w:p>
          <w:p>
            <w:pPr>
              <w:jc w:val="both"/>
              <w:spacing w:after="0"/>
            </w:pPr>
            <w:r>
              <w:rPr>
                <w:sz w:val="24"/>
                <w:szCs w:val="24"/>
              </w:rPr>
              <w:t xml:space="preserve">4. Ресурсные условия
</w:t>
            </w:r>
          </w:p>
          <w:p>
            <w:pPr>
              <w:jc w:val="both"/>
              <w:spacing w:after="0"/>
            </w:pPr>
            <w:r>
              <w:rPr>
                <w:sz w:val="24"/>
                <w:szCs w:val="24"/>
              </w:rPr>
              <w:t xml:space="preserve">- Кадровые ресурсы: наличие достаточного количества квалифицированных специалистов для выполнения всех задач проекта.
</w:t>
            </w:r>
          </w:p>
          <w:p>
            <w:pPr>
              <w:jc w:val="both"/>
              <w:spacing w:after="0"/>
            </w:pPr>
            <w:r>
              <w:rPr>
                <w:sz w:val="24"/>
                <w:szCs w:val="24"/>
              </w:rPr>
              <w:t xml:space="preserve">- Материально-техническое обеспечение: наличие необходимых материалов, оборудования и инструментов для выполнения работ.</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мониторинг и анализ результатов; сравнение достигнутых результатов с запланированными и выявление отклонений; прогнозирование последствий сложившейся ситуации; корректирующие действия.</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В ходе реализации Проекта рабочая группа, состоящая из педагогов МАДОУ,  осуществляет мониторинг реализации Проекта, который  проводит по следующим направлениям: отслеживание качества реализации Проекта и определение эффективности реализации Проекта.</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-Участие в первом муниципальном форуме на базе ДЮЦ Северодвинска «От наставничества к профессионализму молодых», 2023 год.</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2 - 30.10.2026</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01.01.2025</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30.10.2026</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 Реализация модели наставничества: практическое осуществление мероприятий согласно установленному графику и плану, соблюдение установленных стандартов и требований.
</w:t>
            </w:r>
          </w:p>
          <w:p>
            <w:pPr>
              <w:jc w:val="both"/>
              <w:spacing w:after="0"/>
            </w:pPr>
            <w:r>
              <w:rPr>
                <w:sz w:val="24"/>
                <w:szCs w:val="24"/>
              </w:rPr>
              <w:t xml:space="preserve">- Разработка индивидуальных образовательных маршрутов педагогов на основе диагностики профессиональных дефицитов. 
</w:t>
            </w:r>
          </w:p>
          <w:p>
            <w:pPr>
              <w:jc w:val="both"/>
              <w:spacing w:after="0"/>
            </w:pPr>
            <w:r>
              <w:rPr>
                <w:sz w:val="24"/>
                <w:szCs w:val="24"/>
              </w:rPr>
              <w:t xml:space="preserve">- Контроль исполнения: мониторинг хода работ и соблюдения сроков, корректировка действий при необходимости.
</w:t>
            </w:r>
          </w:p>
          <w:p>
            <w:pPr>
              <w:jc w:val="both"/>
              <w:spacing w:after="0"/>
            </w:pPr>
            <w:r>
              <w:rPr>
                <w:sz w:val="24"/>
                <w:szCs w:val="24"/>
              </w:rPr>
              <w:t xml:space="preserve">- Решение возникающих проблем: анализ и устранение препятствий, мешающих выполнению задач, применение альтернативных подходов при возникновении сложностей.
</w:t>
            </w:r>
          </w:p>
          <w:p>
            <w:pPr>
              <w:jc w:val="both"/>
              <w:spacing w:after="0"/>
            </w:pPr>
            <w:r>
              <w:rPr>
                <w:sz w:val="24"/>
                <w:szCs w:val="24"/>
              </w:rPr>
              <w:t xml:space="preserve">- Координация работы: поддержание взаимодействия между членами команды, обмен информацией и согласование совместных усилий.
</w:t>
            </w:r>
          </w:p>
          <w:p>
            <w:pPr>
              <w:jc w:val="both"/>
              <w:spacing w:after="0"/>
            </w:pPr>
            <w:r>
              <w:rPr>
                <w:sz w:val="24"/>
                <w:szCs w:val="24"/>
              </w:rPr>
              <w:t xml:space="preserve">- Использование ресурсов: эффективное применение выделенных ресурсов (человеческих, материальных, финансовых).
</w:t>
            </w:r>
          </w:p>
          <w:p>
            <w:pPr>
              <w:jc w:val="both"/>
              <w:spacing w:after="0"/>
            </w:pPr>
            <w:r>
              <w:rPr>
                <w:sz w:val="24"/>
                <w:szCs w:val="24"/>
              </w:rPr>
              <w:t xml:space="preserve">- Оценка промежуточных результатов: проведение регулярных проверок достигнутого прогресса, сравнение полученных данных с установленными целями.
</w:t>
            </w:r>
          </w:p>
          <w:p>
            <w:pPr>
              <w:jc w:val="both"/>
              <w:spacing w:after="0"/>
            </w:pPr>
            <w:r>
              <w:rPr>
                <w:sz w:val="24"/>
                <w:szCs w:val="24"/>
              </w:rPr>
              <w:t xml:space="preserve">- Коррекция курса: внесение изменений в действия и подходы при обнаружении отклонений от плана, адаптация к изменяющимся условиям внешней среды.
</w:t>
            </w:r>
          </w:p>
          <w:p>
            <w:pPr>
              <w:jc w:val="both"/>
              <w:spacing w:after="0"/>
            </w:pPr>
            <w:r>
              <w:rPr>
                <w:sz w:val="24"/>
                <w:szCs w:val="24"/>
              </w:rPr>
              <w:t xml:space="preserve">Методы деятельности практического этапа: 
</w:t>
            </w:r>
          </w:p>
          <w:p>
            <w:pPr>
              <w:jc w:val="both"/>
              <w:spacing w:after="0"/>
            </w:pPr>
            <w:r>
              <w:rPr>
                <w:sz w:val="24"/>
                <w:szCs w:val="24"/>
              </w:rPr>
              <w:t xml:space="preserve">Методы оперативного управления: план-факт анализ, сопоставление фактических показателей с плановыми.
</w:t>
            </w:r>
          </w:p>
          <w:p>
            <w:pPr>
              <w:jc w:val="both"/>
              <w:spacing w:after="0"/>
            </w:pPr>
            <w:r>
              <w:rPr>
                <w:sz w:val="24"/>
                <w:szCs w:val="24"/>
              </w:rPr>
              <w:t xml:space="preserve">Метод критического пути: контроль над ключевыми событиями и действиями, влияющими на общий срок завершения проекта.
</w:t>
            </w:r>
          </w:p>
          <w:p>
            <w:pPr>
              <w:jc w:val="both"/>
              <w:spacing w:after="0"/>
            </w:pPr>
            <w:r>
              <w:rPr>
                <w:sz w:val="24"/>
                <w:szCs w:val="24"/>
              </w:rPr>
              <w:t xml:space="preserve">Методы мотивации: материальная мотивация (премирование за выполнение задач в установленные сроки); нематериальная мотивация (признание достижений, предоставление возможности профессионального роста).
</w:t>
            </w:r>
          </w:p>
          <w:p>
            <w:pPr>
              <w:jc w:val="both"/>
              <w:spacing w:after="0"/>
            </w:pPr>
            <w:r>
              <w:rPr>
                <w:sz w:val="24"/>
                <w:szCs w:val="24"/>
              </w:rPr>
              <w:t xml:space="preserve">Методы коммуникации: Совещания и встречи, регулярные обсуждения текущего состояния дел и решения возникающих вопросов.
</w:t>
            </w:r>
          </w:p>
          <w:p>
            <w:pPr>
              <w:jc w:val="both"/>
              <w:spacing w:after="0"/>
            </w:pPr>
            <w:r>
              <w:rPr>
                <w:sz w:val="24"/>
                <w:szCs w:val="24"/>
              </w:rPr>
              <w:t xml:space="preserve">Электронные средства связи: использование мессенджеров, электронной почты и видеоконференций для оперативной передачи информации.
</w:t>
            </w:r>
          </w:p>
          <w:p>
            <w:pPr>
              <w:jc w:val="both"/>
              <w:spacing w:after="0"/>
            </w:pPr>
            <w:r>
              <w:rPr>
                <w:sz w:val="24"/>
                <w:szCs w:val="24"/>
              </w:rPr>
              <w:t xml:space="preserve">Методы анализа и коррекции: SWOT-анализ (оценка сильных и слабых сторон, возможностей и угроз в процессе выполнения задач), ABC-анализ (ранжирование задач по степени важности и срочности).
</w:t>
            </w:r>
          </w:p>
          <w:p>
            <w:pPr>
              <w:jc w:val="both"/>
              <w:spacing w:after="0"/>
            </w:pPr>
            <w:r>
              <w:rPr>
                <w:sz w:val="24"/>
                <w:szCs w:val="24"/>
              </w:rPr>
              <w:t xml:space="preserve">Методы управления изменениями: управление рисками (мониторинг и реагирование на изменения внешних факторов); флексибильность (способность быстро адаптироваться к новым условиям без значительных потерь).</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"#61485;	Эффективно функционирует модель наставничества на основе алгоритма действий, документарной базы, механизмов оценки эффективности;
</w:t>
            </w:r>
          </w:p>
          <w:p>
            <w:pPr>
              <w:jc w:val="both"/>
              <w:spacing w:after="0"/>
            </w:pPr>
            <w:r>
              <w:rPr>
                <w:sz w:val="24"/>
                <w:szCs w:val="24"/>
              </w:rPr>
              <w:t xml:space="preserve">"#61485;	обобщен и распространен опыт по реализации Модели на различных уровнях;
</w:t>
            </w:r>
          </w:p>
          <w:p>
            <w:pPr>
              <w:jc w:val="both"/>
              <w:spacing w:after="0"/>
            </w:pPr>
            <w:r>
              <w:rPr>
                <w:sz w:val="24"/>
                <w:szCs w:val="24"/>
              </w:rPr>
              <w:t xml:space="preserve">"#61485;	Педагоги активно реализуют индивидуальные образовательные маршруты на основе диагностики профессиональных дефицитов;
</w:t>
            </w:r>
          </w:p>
          <w:p>
            <w:pPr>
              <w:jc w:val="both"/>
              <w:spacing w:after="0"/>
            </w:pPr>
            <w:r>
              <w:rPr>
                <w:sz w:val="24"/>
                <w:szCs w:val="24"/>
              </w:rPr>
              <w:t xml:space="preserve">"#61485;	Активно функционируют разные форматы наставничества: тьюториал-наставничество, флеш-наставничество, реверсивное наставничество;
</w:t>
            </w:r>
          </w:p>
          <w:p>
            <w:pPr>
              <w:jc w:val="both"/>
              <w:spacing w:after="0"/>
            </w:pPr>
            <w:r>
              <w:rPr>
                <w:sz w:val="24"/>
                <w:szCs w:val="24"/>
              </w:rPr>
              <w:t xml:space="preserve">"#61485;	Активно взаимодействуют наставнические пары;
</w:t>
            </w:r>
          </w:p>
          <w:p>
            <w:pPr>
              <w:jc w:val="both"/>
              <w:spacing w:after="0"/>
            </w:pPr>
            <w:r>
              <w:rPr>
                <w:sz w:val="24"/>
                <w:szCs w:val="24"/>
              </w:rPr>
              <w:t xml:space="preserve">"#61485;	В реализации модели наставничества принимают участие не только молодые специалисты и педагоги, включенные в реестр наставников МАДОУ, но и весь педагогический коллектив.</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pPr>
            <w:r>
              <w:rPr>
                <w:sz w:val="24"/>
                <w:szCs w:val="24"/>
              </w:rPr>
              <w:t xml:space="preserve">Осуществляется активная работа в соответствии с календарным планом реализации проекта.</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spacing w:after="0"/>
            </w:pPr>
            <w:r>
              <w:rPr>
                <w:sz w:val="24"/>
                <w:szCs w:val="24"/>
              </w:rPr>
              <w:t xml:space="preserve">1. Организационные условия
</w:t>
            </w:r>
          </w:p>
          <w:p>
            <w:pPr>
              <w:jc w:val="both"/>
              <w:spacing w:after="0"/>
            </w:pPr>
            <w:r>
              <w:rPr>
                <w:sz w:val="24"/>
                <w:szCs w:val="24"/>
              </w:rPr>
              <w:t xml:space="preserve">- Руководство проектом.
</w:t>
            </w:r>
          </w:p>
          <w:p>
            <w:pPr>
              <w:jc w:val="both"/>
              <w:spacing w:after="0"/>
            </w:pPr>
            <w:r>
              <w:rPr>
                <w:sz w:val="24"/>
                <w:szCs w:val="24"/>
              </w:rPr>
              <w:t xml:space="preserve">- Команда проекта: подбор компетентной и мотивированной команды, состоящей из специалистов различных профилей, способных эффективно выполнять свои задачи.
</w:t>
            </w:r>
          </w:p>
          <w:p>
            <w:pPr>
              <w:jc w:val="both"/>
              <w:spacing w:after="0"/>
            </w:pPr>
            <w:r>
              <w:rPr>
                <w:sz w:val="24"/>
                <w:szCs w:val="24"/>
              </w:rPr>
              <w:t xml:space="preserve">- Организационная структура: четкое распределение ролей и ответственности среди участников проекта, а также наличие эффективных механизмов взаимодействия и принятия решений.
</w:t>
            </w:r>
          </w:p>
          <w:p>
            <w:pPr>
              <w:jc w:val="both"/>
              <w:spacing w:after="0"/>
            </w:pPr>
            <w:r>
              <w:rPr>
                <w:sz w:val="24"/>
                <w:szCs w:val="24"/>
              </w:rPr>
              <w:t xml:space="preserve">2. Технические условия
</w:t>
            </w:r>
          </w:p>
          <w:p>
            <w:pPr>
              <w:jc w:val="both"/>
              <w:spacing w:after="0"/>
            </w:pPr>
            <w:r>
              <w:rPr>
                <w:sz w:val="24"/>
                <w:szCs w:val="24"/>
              </w:rPr>
              <w:t xml:space="preserve">- Наличие необходимого оборудования, программного обеспечения и технических средств для выполнения задач проекта.
</w:t>
            </w:r>
          </w:p>
          <w:p>
            <w:pPr>
              <w:jc w:val="both"/>
              <w:spacing w:after="0"/>
            </w:pPr>
            <w:r>
              <w:rPr>
                <w:sz w:val="24"/>
                <w:szCs w:val="24"/>
              </w:rPr>
              <w:t xml:space="preserve">3. Юридические условия
</w:t>
            </w:r>
          </w:p>
          <w:p>
            <w:pPr>
              <w:jc w:val="both"/>
              <w:spacing w:after="0"/>
            </w:pPr>
            <w:r>
              <w:rPr>
                <w:sz w:val="24"/>
                <w:szCs w:val="24"/>
              </w:rPr>
              <w:t xml:space="preserve">- Правовая база: соблюдение всех нормативных актов и законодательных требований, касающихся выполнения проекта.
</w:t>
            </w:r>
          </w:p>
          <w:p>
            <w:pPr>
              <w:jc w:val="both"/>
              <w:spacing w:after="0"/>
            </w:pPr>
            <w:r>
              <w:rPr>
                <w:sz w:val="24"/>
                <w:szCs w:val="24"/>
              </w:rPr>
              <w:t xml:space="preserve">4. Ресурсные условия
</w:t>
            </w:r>
          </w:p>
          <w:p>
            <w:pPr>
              <w:jc w:val="both"/>
              <w:spacing w:after="0"/>
            </w:pPr>
            <w:r>
              <w:rPr>
                <w:sz w:val="24"/>
                <w:szCs w:val="24"/>
              </w:rPr>
              <w:t xml:space="preserve">- Кадровые ресурсы: наличие достаточного количества квалифицированных специалистов для выполнения всех задач проекта.
</w:t>
            </w:r>
          </w:p>
          <w:p>
            <w:pPr>
              <w:jc w:val="both"/>
              <w:spacing w:after="0"/>
            </w:pPr>
            <w:r>
              <w:rPr>
                <w:sz w:val="24"/>
                <w:szCs w:val="24"/>
              </w:rPr>
              <w:t xml:space="preserve">- Материально-техническое обеспечение: наличие необходимых материалов, оборудования и инструментов для выполнения работ.</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мониторинг и анализ результатов; сравнение достигнутых результатов с запланированными и выявление отклонений; прогнозирование последствий сложившейся ситуации; корректирующие действия.
</w:t>
            </w:r>
          </w:p>
          <w:p>
            <w:pPr>
              <w:jc w:val="both"/>
              <w:spacing w:after="0"/>
            </w:pPr>
            <w:r>
              <w:rPr>
                <w:sz w:val="24"/>
                <w:szCs w:val="24"/>
              </w:rPr>
              <w:t xml:space="preserve">В части оценки проекта и обеспечения достоверности результатов реализации проекта критериями могут быть:
</w:t>
            </w:r>
          </w:p>
          <w:p>
            <w:pPr>
              <w:jc w:val="both"/>
              <w:spacing w:after="0"/>
            </w:pPr>
            <w:r>
              <w:rPr>
                <w:sz w:val="24"/>
                <w:szCs w:val="24"/>
              </w:rPr>
              <w:t xml:space="preserve">- соответствие условий организации наставнической деятельности требованиям модели, по которым она осуществляется;
</w:t>
            </w:r>
          </w:p>
          <w:p>
            <w:pPr>
              <w:jc w:val="both"/>
              <w:spacing w:after="0"/>
            </w:pPr>
            <w:r>
              <w:rPr>
                <w:sz w:val="24"/>
                <w:szCs w:val="24"/>
              </w:rPr>
              <w:t xml:space="preserve">- оценка соответствия организации наставнической деятельности принципам, заложенным в модели;
</w:t>
            </w:r>
          </w:p>
          <w:p>
            <w:pPr>
              <w:jc w:val="both"/>
              <w:spacing w:after="0"/>
            </w:pPr>
            <w:r>
              <w:rPr>
                <w:sz w:val="24"/>
                <w:szCs w:val="24"/>
              </w:rPr>
              <w:t xml:space="preserve">- соответствие наставнической деятельности современным подходам и технологиям;
</w:t>
            </w:r>
          </w:p>
          <w:p>
            <w:pPr>
              <w:jc w:val="both"/>
              <w:spacing w:after="0"/>
            </w:pPr>
            <w:r>
              <w:rPr>
                <w:sz w:val="24"/>
                <w:szCs w:val="24"/>
              </w:rPr>
              <w:t xml:space="preserve">- наличие соответствующего психологического климата в образовательной организации, на базе которой организован процесс наставнической деятельности;
</w:t>
            </w:r>
          </w:p>
          <w:p>
            <w:pPr>
              <w:jc w:val="both"/>
              <w:spacing w:after="0"/>
            </w:pPr>
            <w:r>
              <w:rPr>
                <w:sz w:val="24"/>
                <w:szCs w:val="24"/>
              </w:rPr>
              <w:t xml:space="preserve">- логичность деятельности наставника, понимание им ситуации наставляемого и правильность выбора основного направления взаимодействия;
</w:t>
            </w:r>
          </w:p>
          <w:p>
            <w:pPr>
              <w:jc w:val="both"/>
              <w:spacing w:after="0"/>
            </w:pPr>
            <w:r>
              <w:rPr>
                <w:sz w:val="24"/>
                <w:szCs w:val="24"/>
              </w:rPr>
              <w:t xml:space="preserve">- положительная динамика в поступлении запросов участников на продолжение работы.</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Педагоги участвуют в распространении и транслировании опыта работы на различных уровнях, которое подтверждается документально.</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Доклад «Реализация проекта «Школа наставников», представлен на Международной педагогической конференции «Инновационные технологии работы в ДОУ», 2023 год.</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3 - 31.12.2026</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01.11.2026</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31.12.2026</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Содержание обобщающего этапа
</w:t>
            </w:r>
          </w:p>
          <w:p>
            <w:pPr>
              <w:jc w:val="both"/>
              <w:spacing w:after="0"/>
            </w:pPr>
            <w:r>
              <w:rPr>
                <w:sz w:val="24"/>
                <w:szCs w:val="24"/>
              </w:rPr>
              <w:t xml:space="preserve">- Оценка результативности реализации проекта: сопоставление достигнутых результатов с первоначальными целями и задачами, оценка эффективности использованных методов и инструментов.
</w:t>
            </w:r>
          </w:p>
          <w:p>
            <w:pPr>
              <w:jc w:val="both"/>
              <w:spacing w:after="0"/>
            </w:pPr>
            <w:r>
              <w:rPr>
                <w:sz w:val="24"/>
                <w:szCs w:val="24"/>
              </w:rPr>
              <w:t xml:space="preserve">- Выявление причин неудач и успешных моментов.
</w:t>
            </w:r>
          </w:p>
          <w:p>
            <w:pPr>
              <w:jc w:val="both"/>
              <w:spacing w:after="0"/>
            </w:pPr>
            <w:r>
              <w:rPr>
                <w:sz w:val="24"/>
                <w:szCs w:val="24"/>
              </w:rPr>
              <w:t xml:space="preserve">- Формирование рекомендаций: разработка предложений по улучшению процессов и методик на основе полученного опыта, определение перспектив реализации проекта.
</w:t>
            </w:r>
          </w:p>
          <w:p>
            <w:pPr>
              <w:jc w:val="both"/>
              <w:spacing w:after="0"/>
            </w:pPr>
            <w:r>
              <w:rPr>
                <w:sz w:val="24"/>
                <w:szCs w:val="24"/>
              </w:rPr>
              <w:t xml:space="preserve">-  Подготовка и реализация итогового отчета, содержащего описание проделанной работы, достигнутые результаты, выводы и рекомендации.
</w:t>
            </w:r>
          </w:p>
          <w:p>
            <w:pPr>
              <w:jc w:val="both"/>
              <w:spacing w:after="0"/>
            </w:pPr>
            <w:r>
              <w:rPr>
                <w:sz w:val="24"/>
                <w:szCs w:val="24"/>
              </w:rPr>
              <w:t xml:space="preserve">- Оценка эффективности разработанной модели наставничества.
</w:t>
            </w:r>
          </w:p>
          <w:p>
            <w:pPr>
              <w:jc w:val="both"/>
              <w:spacing w:after="0"/>
            </w:pPr>
            <w:r>
              <w:rPr>
                <w:sz w:val="24"/>
                <w:szCs w:val="24"/>
              </w:rPr>
              <w:t xml:space="preserve">
</w:t>
            </w:r>
          </w:p>
          <w:p>
            <w:pPr>
              <w:jc w:val="both"/>
              <w:spacing w:after="0"/>
            </w:pPr>
            <w:r>
              <w:rPr>
                <w:sz w:val="24"/>
                <w:szCs w:val="24"/>
              </w:rPr>
              <w:t xml:space="preserve">Методы деятельности обобщающего этапа
</w:t>
            </w:r>
          </w:p>
          <w:p>
            <w:pPr>
              <w:jc w:val="both"/>
              <w:spacing w:after="0"/>
            </w:pPr>
            <w:r>
              <w:rPr>
                <w:sz w:val="24"/>
                <w:szCs w:val="24"/>
              </w:rPr>
              <w:t xml:space="preserve">- Методы анализа данных: статистический анализ (использование статистических методов для обработки количественных данных); качественный анализ (интерпретация качественных данных, таких как отзывы, интервью и наблюдения).
</w:t>
            </w:r>
          </w:p>
          <w:p>
            <w:pPr>
              <w:jc w:val="both"/>
              <w:spacing w:after="0"/>
            </w:pPr>
            <w:r>
              <w:rPr>
                <w:sz w:val="24"/>
                <w:szCs w:val="24"/>
              </w:rPr>
              <w:t xml:space="preserve">Методы разработки рекомендаций: брейнсторминг (коллективное генерирование идей для улучшения процессов); сравнение с лучшими практиками в отрасли для поиска путей оптимизации.</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"#61485;	проведена оценка эффективности созданной модели посредством ее реализации;
</w:t>
            </w:r>
          </w:p>
          <w:p>
            <w:pPr>
              <w:jc w:val="both"/>
              <w:spacing w:after="0"/>
            </w:pPr>
            <w:r>
              <w:rPr>
                <w:sz w:val="24"/>
                <w:szCs w:val="24"/>
              </w:rPr>
              <w:t xml:space="preserve">"#61485;	обобщен и распространен опыт по реализации Модели на различных уровнях;
</w:t>
            </w:r>
          </w:p>
          <w:p>
            <w:pPr>
              <w:jc w:val="both"/>
              <w:spacing w:after="0"/>
            </w:pPr>
            <w:r>
              <w:rPr>
                <w:sz w:val="24"/>
                <w:szCs w:val="24"/>
              </w:rPr>
              <w:t xml:space="preserve">"#61485;	расширена базы знаний</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pPr>
            <w:r>
              <w:rPr>
                <w:sz w:val="24"/>
                <w:szCs w:val="24"/>
              </w:rPr>
              <w:t xml:space="preserve">Проект находится в стадии активной реализации</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spacing w:after="0"/>
            </w:pPr>
            <w:r>
              <w:rPr>
                <w:sz w:val="24"/>
                <w:szCs w:val="24"/>
              </w:rPr>
              <w:t xml:space="preserve">1. Организационные условия
</w:t>
            </w:r>
          </w:p>
          <w:p>
            <w:pPr>
              <w:jc w:val="both"/>
              <w:spacing w:after="0"/>
            </w:pPr>
            <w:r>
              <w:rPr>
                <w:sz w:val="24"/>
                <w:szCs w:val="24"/>
              </w:rPr>
              <w:t xml:space="preserve">- Руководство проектом.
</w:t>
            </w:r>
          </w:p>
          <w:p>
            <w:pPr>
              <w:jc w:val="both"/>
              <w:spacing w:after="0"/>
            </w:pPr>
            <w:r>
              <w:rPr>
                <w:sz w:val="24"/>
                <w:szCs w:val="24"/>
              </w:rPr>
              <w:t xml:space="preserve">- Команда проекта: подбор компетентной и мотивированной команды, состоящей из специалистов различных профилей, способных эффективно выполнять свои задачи.
</w:t>
            </w:r>
          </w:p>
          <w:p>
            <w:pPr>
              <w:jc w:val="both"/>
              <w:spacing w:after="0"/>
            </w:pPr>
            <w:r>
              <w:rPr>
                <w:sz w:val="24"/>
                <w:szCs w:val="24"/>
              </w:rPr>
              <w:t xml:space="preserve">- Организационная структура: четкое распределение ролей и ответственности среди участников проекта, а также наличие эффективных механизмов взаимодействия и принятия решений.
</w:t>
            </w:r>
          </w:p>
          <w:p>
            <w:pPr>
              <w:jc w:val="both"/>
              <w:spacing w:after="0"/>
            </w:pPr>
            <w:r>
              <w:rPr>
                <w:sz w:val="24"/>
                <w:szCs w:val="24"/>
              </w:rPr>
              <w:t xml:space="preserve">2. Технические условия
</w:t>
            </w:r>
          </w:p>
          <w:p>
            <w:pPr>
              <w:jc w:val="both"/>
              <w:spacing w:after="0"/>
            </w:pPr>
            <w:r>
              <w:rPr>
                <w:sz w:val="24"/>
                <w:szCs w:val="24"/>
              </w:rPr>
              <w:t xml:space="preserve">- Наличие необходимого оборудования, программного обеспечения и технических средств для выполнения задач проекта.
</w:t>
            </w:r>
          </w:p>
          <w:p>
            <w:pPr>
              <w:jc w:val="both"/>
              <w:spacing w:after="0"/>
            </w:pPr>
            <w:r>
              <w:rPr>
                <w:sz w:val="24"/>
                <w:szCs w:val="24"/>
              </w:rPr>
              <w:t xml:space="preserve">3. Юридические условия
</w:t>
            </w:r>
          </w:p>
          <w:p>
            <w:pPr>
              <w:jc w:val="both"/>
              <w:spacing w:after="0"/>
            </w:pPr>
            <w:r>
              <w:rPr>
                <w:sz w:val="24"/>
                <w:szCs w:val="24"/>
              </w:rPr>
              <w:t xml:space="preserve">- Правовая база: соблюдение всех нормативных актов и законодательных требований, касающихся выполнения проекта.
</w:t>
            </w:r>
          </w:p>
          <w:p>
            <w:pPr>
              <w:jc w:val="both"/>
              <w:spacing w:after="0"/>
            </w:pPr>
            <w:r>
              <w:rPr>
                <w:sz w:val="24"/>
                <w:szCs w:val="24"/>
              </w:rPr>
              <w:t xml:space="preserve">4. Ресурсные условия
</w:t>
            </w:r>
          </w:p>
          <w:p>
            <w:pPr>
              <w:jc w:val="both"/>
              <w:spacing w:after="0"/>
            </w:pPr>
            <w:r>
              <w:rPr>
                <w:sz w:val="24"/>
                <w:szCs w:val="24"/>
              </w:rPr>
              <w:t xml:space="preserve">- Кадровые ресурсы: наличие достаточного количества квалифицированных специалистов для выполнения всех задач проекта.
</w:t>
            </w:r>
          </w:p>
          <w:p>
            <w:pPr>
              <w:jc w:val="both"/>
              <w:spacing w:after="0"/>
            </w:pPr>
            <w:r>
              <w:rPr>
                <w:sz w:val="24"/>
                <w:szCs w:val="24"/>
              </w:rPr>
              <w:t xml:space="preserve">- Материально-техническое обеспечение: наличие необходимых материалов, оборудования и инструментов для выполнения работ.</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мониторинг и анализ результатов; сравнение достигнутых результатов с запланированными и выявление отклонений; прогнозирование последствий сложившейся ситуации; корректирующие действия.
</w:t>
            </w:r>
          </w:p>
          <w:p>
            <w:pPr>
              <w:jc w:val="both"/>
              <w:spacing w:after="0"/>
            </w:pPr>
            <w:r>
              <w:rPr>
                <w:sz w:val="24"/>
                <w:szCs w:val="24"/>
              </w:rPr>
              <w:t xml:space="preserve">В части определения эффективности всех участников наставнической деятельности в. образовательной организации:
</w:t>
            </w:r>
          </w:p>
          <w:p>
            <w:pPr>
              <w:jc w:val="both"/>
              <w:spacing w:after="0"/>
            </w:pPr>
            <w:r>
              <w:rPr>
                <w:sz w:val="24"/>
                <w:szCs w:val="24"/>
              </w:rPr>
              <w:t xml:space="preserve">- степень удовлетворенности всех участников наставнической деятельности;
</w:t>
            </w:r>
          </w:p>
          <w:p>
            <w:pPr>
              <w:jc w:val="both"/>
              <w:spacing w:after="0"/>
            </w:pPr>
            <w:r>
              <w:rPr>
                <w:sz w:val="24"/>
                <w:szCs w:val="24"/>
              </w:rPr>
              <w:t xml:space="preserve">- уровень удовлетворенности партнеров от взаимодействия в наставнической деятельности.
</w:t>
            </w:r>
          </w:p>
          <w:p>
            <w:pPr>
              <w:jc w:val="both"/>
              <w:spacing w:after="0"/>
            </w:pPr>
            <w:r>
              <w:rPr>
                <w:sz w:val="24"/>
                <w:szCs w:val="24"/>
              </w:rPr>
              <w:t xml:space="preserve">Относительно изменений в личности наставляемого-участника программы наставничества в образовательной организации критериями динамики развития наставляемых могут выступать:
</w:t>
            </w:r>
          </w:p>
          <w:p>
            <w:pPr>
              <w:jc w:val="both"/>
              <w:spacing w:after="0"/>
            </w:pPr>
            <w:r>
              <w:rPr>
                <w:sz w:val="24"/>
                <w:szCs w:val="24"/>
              </w:rPr>
              <w:t xml:space="preserve">- улучшение и позитивная динамика образовательных результатов, изменение ценностных ориентаций участников в сторону социально-значимых;
</w:t>
            </w:r>
          </w:p>
          <w:p>
            <w:pPr>
              <w:jc w:val="both"/>
              <w:spacing w:after="0"/>
            </w:pPr>
            <w:r>
              <w:rPr>
                <w:sz w:val="24"/>
                <w:szCs w:val="24"/>
              </w:rPr>
              <w:t xml:space="preserve">- нормализация уровня тревожности; оптимизация процессов общения, снижение уровня агрессивности;
</w:t>
            </w:r>
          </w:p>
          <w:p>
            <w:pPr>
              <w:jc w:val="both"/>
              <w:spacing w:after="0"/>
            </w:pPr>
            <w:r>
              <w:rPr>
                <w:sz w:val="24"/>
                <w:szCs w:val="24"/>
              </w:rPr>
              <w:t xml:space="preserve">- повышение уровня самооценки наставляемого;
</w:t>
            </w:r>
          </w:p>
          <w:p>
            <w:pPr>
              <w:jc w:val="both"/>
              <w:spacing w:after="0"/>
            </w:pPr>
            <w:r>
              <w:rPr>
                <w:sz w:val="24"/>
                <w:szCs w:val="24"/>
              </w:rPr>
              <w:t xml:space="preserve">- активность и заинтересованность наставляемых в участии в мероприятиях, связанных с. наставнической деятельностью;
</w:t>
            </w:r>
          </w:p>
          <w:p>
            <w:pPr>
              <w:jc w:val="both"/>
              <w:spacing w:after="0"/>
            </w:pPr>
            <w:r>
              <w:rPr>
                <w:sz w:val="24"/>
                <w:szCs w:val="24"/>
              </w:rPr>
              <w:t xml:space="preserve">- степень применения наставляемыми полученных от наставника знаний, умений и опыта в профессиональной деятельности</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Проект находится в стадии активной реализации</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нет</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Нормативная база</w:t>
      </w:r>
    </w:p>
    <w:p>
      <w:pPr>
        <w:jc w:val="both"/>
        <w:spacing w:after="0"/>
      </w:pPr>
      <w:r>
        <w:rPr>
          <w:sz w:val="24"/>
          <w:szCs w:val="24"/>
        </w:rPr>
        <w:t xml:space="preserve">Проект исходит из положений следующих нормативно-правовых документов и методических рекомендаций:
</w:t>
      </w:r>
    </w:p>
    <w:p>
      <w:pPr>
        <w:jc w:val="both"/>
        <w:spacing w:after="0"/>
      </w:pPr>
      <w:r>
        <w:rPr>
          <w:sz w:val="24"/>
          <w:szCs w:val="24"/>
        </w:rPr>
        <w:t xml:space="preserve">1. Федеральный закон № 273-ФЗ от 29 декабря 2012 г. № 273-ФЗ «Об образовании в Российской Федерации.
</w:t>
      </w:r>
    </w:p>
    <w:p>
      <w:pPr>
        <w:jc w:val="both"/>
        <w:spacing w:after="0"/>
      </w:pPr>
      <w:r>
        <w:rPr>
          <w:sz w:val="24"/>
          <w:szCs w:val="24"/>
        </w:rPr>
        <w:t xml:space="preserve">2. Приказ Минобрнауки России от 17 октября 2013 г. № 1155 «Об утверждении федерального государственного образовательного стандарта дошкольного образования» (с изменениями и дополнениями от 21 января 2019 г., 8 ноября 2022 г.).
</w:t>
      </w:r>
    </w:p>
    <w:p>
      <w:pPr>
        <w:jc w:val="both"/>
        <w:spacing w:after="0"/>
      </w:pPr>
      <w:r>
        <w:rPr>
          <w:sz w:val="24"/>
          <w:szCs w:val="24"/>
        </w:rPr>
        <w:t xml:space="preserve">3. Приказ Минпросвещения России от 25.11.2022 № 1028 «Об утверждении федеральной образовательной программы дошкольного образования».
</w:t>
      </w:r>
    </w:p>
    <w:p>
      <w:pPr>
        <w:jc w:val="both"/>
        <w:spacing w:after="0"/>
      </w:pPr>
      <w:r>
        <w:rPr>
          <w:sz w:val="24"/>
          <w:szCs w:val="24"/>
        </w:rPr>
        <w:t xml:space="preserve">4. Распоряжение Минпросвещения России от 25.12.2019 № Р-145 «Об утверждении методологии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
</w:t>
      </w:r>
    </w:p>
    <w:p>
      <w:pPr>
        <w:jc w:val="both"/>
        <w:spacing w:after="0"/>
      </w:pPr>
      <w:r>
        <w:rPr>
          <w:sz w:val="24"/>
          <w:szCs w:val="24"/>
        </w:rPr>
        <w:t xml:space="preserve">5. Концепция развития наставничества в Российской Федерации (одобрена Решением президиума ФГБУ Российская академия образования от 29.06.2023)</w:t>
      </w:r>
    </w:p>
    <w:p>
      <w:pPr>
        <w:jc w:val="left"/>
      </w:pPr>
      <w:r>
        <w:rPr>
          <w:sz w:val="28"/>
          <w:szCs w:val="28"/>
          <w:b w:val="1"/>
          <w:bCs w:val="1"/>
        </w:rPr>
        <w:t xml:space="preserve">Предложения по распространению и внедрению результатов в массовую практику</w:t>
      </w:r>
    </w:p>
    <w:p>
      <w:pPr>
        <w:jc w:val="both"/>
        <w:spacing w:after="0"/>
      </w:pPr>
      <w:r>
        <w:rPr>
          <w:sz w:val="24"/>
          <w:szCs w:val="24"/>
        </w:rPr>
        <w:t xml:space="preserve">Проект по реализации модели наставничества «Шаг вперед МАДОУ № 20 «Дружный хоровод» может иметь широкое распространение в массовой педагогической практике не только в городе Северодвинске, но и за его пределами.
</w:t>
      </w:r>
    </w:p>
    <w:p>
      <w:pPr>
        <w:jc w:val="both"/>
        <w:spacing w:after="0"/>
      </w:pPr>
      <w:r>
        <w:rPr>
          <w:sz w:val="24"/>
          <w:szCs w:val="24"/>
        </w:rPr>
        <w:t xml:space="preserve">Результаты работы региональной инновационной площадки могут быть востребованы:
</w:t>
      </w:r>
    </w:p>
    <w:p>
      <w:pPr>
        <w:jc w:val="both"/>
        <w:spacing w:after="0"/>
      </w:pPr>
      <w:r>
        <w:rPr>
          <w:sz w:val="24"/>
          <w:szCs w:val="24"/>
        </w:rPr>
        <w:t xml:space="preserve">- руководителями дошкольных образовательных организаций для осуществления наставнической деятельности в своих образовательных организациях, разработанная модель наставничества может улучшить корпоративную культуру, способствуя созданию открытой атмосферы для обмена идеями и мнениями;
</w:t>
      </w:r>
    </w:p>
    <w:p>
      <w:pPr>
        <w:jc w:val="both"/>
        <w:spacing w:after="0"/>
      </w:pPr>
      <w:r>
        <w:rPr>
          <w:sz w:val="24"/>
          <w:szCs w:val="24"/>
        </w:rPr>
        <w:t xml:space="preserve">- педагогами дошкольных образовательных учреждений для повышения своей профессиональной компетентности, взаимодействия молодых специалистов с педагогами-наставниками; наставничество способствует созданию взаимовыгодных отношений, где обе стороны могут учиться друг у друга;
</w:t>
      </w:r>
    </w:p>
    <w:p>
      <w:pPr>
        <w:jc w:val="both"/>
        <w:spacing w:after="0"/>
      </w:pPr>
      <w:r>
        <w:rPr>
          <w:sz w:val="24"/>
          <w:szCs w:val="24"/>
        </w:rPr>
        <w:t xml:space="preserve">- образовательными учреждениями, которые заинтересованы в повышении качества подготовки кадров и формировании эффективных связей между учебным процессом и практической деятельностью;
</w:t>
      </w:r>
    </w:p>
    <w:p>
      <w:pPr>
        <w:jc w:val="both"/>
        <w:spacing w:after="0"/>
      </w:pPr>
      <w:r>
        <w:rPr>
          <w:sz w:val="24"/>
          <w:szCs w:val="24"/>
        </w:rPr>
        <w:t xml:space="preserve">- педагогической общественностью в целом, содействуя формированию профессионального сообщества, ориентированного на обмен знаниями и опытом, что является основой для инновационного и устойчивого развития.</w:t>
      </w:r>
    </w:p>
    <w:p>
      <w:pPr>
        <w:jc w:val="left"/>
      </w:pPr>
      <w:r>
        <w:rPr>
          <w:sz w:val="28"/>
          <w:szCs w:val="28"/>
          <w:b w:val="1"/>
          <w:bCs w:val="1"/>
          <w:shd w:val="clear" w:fill="CD5C5C"/>
        </w:rPr>
        <w:t xml:space="preserve">Опыт по распространению и внедрению результатов</w:t>
      </w:r>
    </w:p>
    <w:p>
      <w:pPr>
        <w:jc w:val="both"/>
        <w:spacing w:after="0"/>
      </w:pPr>
      <w:r>
        <w:rPr>
          <w:color w:val="8B0000"/>
          <w:sz w:val="24"/>
          <w:szCs w:val="24"/>
        </w:rPr>
        <w:t xml:space="preserve">Внедрение в массовую практику инновационного опыта и результатов деятельности региональной инновационной площадки осуществляется через:
</w:t>
      </w:r>
    </w:p>
    <w:p>
      <w:pPr>
        <w:jc w:val="both"/>
        <w:spacing w:after="0"/>
      </w:pPr>
      <w:r>
        <w:rPr>
          <w:color w:val="8B0000"/>
          <w:sz w:val="24"/>
          <w:szCs w:val="24"/>
        </w:rPr>
        <w:t xml:space="preserve">- проведение семинаров, практикумов, круглых столов, коучинг-сессий, мастер-классов, консультаций, модераций, дискуссий и пр. для молодых педагогов в формах тюториала и флеш-наставничества;
</w:t>
      </w:r>
    </w:p>
    <w:p>
      <w:pPr>
        <w:jc w:val="both"/>
        <w:spacing w:after="0"/>
      </w:pPr>
      <w:r>
        <w:rPr>
          <w:color w:val="8B0000"/>
          <w:sz w:val="24"/>
          <w:szCs w:val="24"/>
        </w:rPr>
        <w:t xml:space="preserve">- анализ диагностики профессиональных дефицитов педагогов и разработанных на их основе ИОМ;
</w:t>
      </w:r>
    </w:p>
    <w:p>
      <w:pPr>
        <w:jc w:val="both"/>
        <w:spacing w:after="0"/>
      </w:pPr>
      <w:r>
        <w:rPr>
          <w:color w:val="8B0000"/>
          <w:sz w:val="24"/>
          <w:szCs w:val="24"/>
        </w:rPr>
        <w:t xml:space="preserve">- представление педагогами опыта работы по реализации проекта в рамках методических мероприятий разного уровня: участие с докладом на тему "Проект по реализации модели наставничества "Шаг вперед" в рамках всероссийской педагогической конференции "Повышение качества образования: от традиционных методик к инновациям" (октябрь 2025 г.); участие с докладом на тему "Наставничество как инструмент профессионального роста педагога: проект "Шаг вперед" в рамках V Всероссийской педагогической конференции "Воспитательный потенциал обучения в образовании: современные эффективные технологии гражданско-патриотического воспитания и активизация воспитательной работы" - 2025 (ноябрь 2025 г.); публикация в сборнике материалов V Всероссийской педагогической конференции "Воспитательный потенциал обучения в образовании: современные эффективные технологии гражданско-патриотического воспитания и активизация воспитательной работы" - 2025 по теме "Наставничество как инструмент профессионального роста педагога: проект "Шаг вперед" (ноябрь 2025 г.)</w:t>
      </w:r>
    </w:p>
    <w:p>
      <w:pPr>
        <w:jc w:val="left"/>
      </w:pPr>
      <w:r>
        <w:rPr>
          <w:sz w:val="28"/>
          <w:szCs w:val="28"/>
          <w:b w:val="1"/>
          <w:bCs w:val="1"/>
          <w:shd w:val="clear" w:fill="CD5C5C"/>
        </w:rPr>
        <w:t xml:space="preserve">Предложения по дальнейшей диссеминации</w:t>
      </w:r>
    </w:p>
    <w:p>
      <w:pPr>
        <w:jc w:val="both"/>
        <w:spacing w:after="0"/>
      </w:pPr>
      <w:r>
        <w:rPr>
          <w:color w:val="8B0000"/>
          <w:sz w:val="24"/>
          <w:szCs w:val="24"/>
        </w:rPr>
        <w:t xml:space="preserve">Результаты региональной инновационной площадки могут быть востребованы: 
</w:t>
      </w:r>
    </w:p>
    <w:p>
      <w:pPr>
        <w:jc w:val="both"/>
        <w:spacing w:after="0"/>
      </w:pPr>
      <w:r>
        <w:rPr>
          <w:color w:val="8B0000"/>
          <w:sz w:val="24"/>
          <w:szCs w:val="24"/>
        </w:rPr>
        <w:t xml:space="preserve">- педагогами образовательных учреждений, внедряющих новые формы  работы по реализации наставничества; расширяющих рамки своего образовательного пространства; 
</w:t>
      </w:r>
    </w:p>
    <w:p>
      <w:pPr>
        <w:jc w:val="both"/>
        <w:spacing w:after="0"/>
      </w:pPr>
      <w:r>
        <w:rPr>
          <w:color w:val="8B0000"/>
          <w:sz w:val="24"/>
          <w:szCs w:val="24"/>
        </w:rPr>
        <w:t xml:space="preserve">- преподавателями и студентами учреждений профессионального образования при подготовке специалистов для работы с детьми дошкольного возраста. 
</w:t>
      </w:r>
    </w:p>
    <w:p>
      <w:pPr>
        <w:jc w:val="both"/>
        <w:spacing w:after="0"/>
      </w:pPr>
      <w:r>
        <w:rPr>
          <w:color w:val="8B0000"/>
          <w:sz w:val="24"/>
          <w:szCs w:val="24"/>
        </w:rPr>
        <w:t xml:space="preserve">В настоящее время проект находится в стадии активной реализации с применением различных форм работы, с определенной периодичностью в соответствии с перспективным планом работы.</w:t>
      </w:r>
    </w:p>
    <w:p>
      <w:pPr>
        <w:jc w:val="left"/>
      </w:pPr>
      <w:r>
        <w:rPr>
          <w:sz w:val="28"/>
          <w:szCs w:val="28"/>
          <w:b w:val="1"/>
          <w:bCs w:val="1"/>
        </w:rPr>
        <w:t xml:space="preserve">Обоснование устойчивости результатов проекта</w:t>
      </w:r>
    </w:p>
    <w:p>
      <w:pPr>
        <w:jc w:val="both"/>
        <w:spacing w:after="0"/>
      </w:pPr>
      <w:r>
        <w:rPr>
          <w:sz w:val="24"/>
          <w:szCs w:val="24"/>
        </w:rPr>
        <w:t xml:space="preserve">Устойчивость результатов проекта по реализации модели наставничества «Шаг вперед» после окончания его реализации определяется:
</w:t>
      </w:r>
    </w:p>
    <w:p>
      <w:pPr>
        <w:jc w:val="both"/>
        <w:spacing w:after="0"/>
      </w:pPr>
      <w:r>
        <w:rPr>
          <w:sz w:val="24"/>
          <w:szCs w:val="24"/>
        </w:rPr>
        <w:t xml:space="preserve">- целенаправленной, взаимосвязанной работой всех участников образовательного процесса;
</w:t>
      </w:r>
    </w:p>
    <w:p>
      <w:pPr>
        <w:jc w:val="both"/>
        <w:spacing w:after="0"/>
      </w:pPr>
      <w:r>
        <w:rPr>
          <w:sz w:val="24"/>
          <w:szCs w:val="24"/>
        </w:rPr>
        <w:t xml:space="preserve">- повышением качества дошкольного образования; 
</w:t>
      </w:r>
    </w:p>
    <w:p>
      <w:pPr>
        <w:jc w:val="both"/>
        <w:spacing w:after="0"/>
      </w:pPr>
      <w:r>
        <w:rPr>
          <w:sz w:val="24"/>
          <w:szCs w:val="24"/>
        </w:rPr>
        <w:t xml:space="preserve">- переходом педагогов из группы пассивных созерцателей в группу убежденных единомышленников;
</w:t>
      </w:r>
    </w:p>
    <w:p>
      <w:pPr>
        <w:jc w:val="both"/>
        <w:spacing w:after="0"/>
      </w:pPr>
      <w:r>
        <w:rPr>
          <w:sz w:val="24"/>
          <w:szCs w:val="24"/>
        </w:rPr>
        <w:t xml:space="preserve">- закреплением в практике работы каждого педагогов современных педагогических технологий и методик, направленных на повышение качества образования;
</w:t>
      </w:r>
    </w:p>
    <w:p>
      <w:pPr>
        <w:jc w:val="both"/>
        <w:spacing w:after="0"/>
      </w:pPr>
      <w:r>
        <w:rPr>
          <w:sz w:val="24"/>
          <w:szCs w:val="24"/>
        </w:rPr>
        <w:t xml:space="preserve">- устойчивой системой самообразования педагогов;
</w:t>
      </w:r>
    </w:p>
    <w:p>
      <w:pPr>
        <w:jc w:val="both"/>
        <w:spacing w:after="0"/>
      </w:pPr>
      <w:r>
        <w:rPr>
          <w:sz w:val="24"/>
          <w:szCs w:val="24"/>
        </w:rPr>
        <w:t xml:space="preserve">- положительной оценкой родительской общественности результатов проекта;
</w:t>
      </w:r>
    </w:p>
    <w:p>
      <w:pPr>
        <w:jc w:val="both"/>
        <w:spacing w:after="0"/>
      </w:pPr>
      <w:r>
        <w:rPr>
          <w:sz w:val="24"/>
          <w:szCs w:val="24"/>
        </w:rPr>
        <w:t xml:space="preserve">- удовлетворенностью всех участников образовательного процесса качеством образования;
</w:t>
      </w:r>
    </w:p>
    <w:p>
      <w:pPr>
        <w:jc w:val="both"/>
        <w:spacing w:after="0"/>
      </w:pPr>
      <w:r>
        <w:rPr>
          <w:sz w:val="24"/>
          <w:szCs w:val="24"/>
        </w:rPr>
        <w:t xml:space="preserve">- востребованностью опыта работы по данной программе другими образовательными организациями;
</w:t>
      </w:r>
    </w:p>
    <w:p>
      <w:pPr>
        <w:jc w:val="both"/>
        <w:spacing w:after="0"/>
      </w:pPr>
      <w:r>
        <w:rPr>
          <w:sz w:val="24"/>
          <w:szCs w:val="24"/>
        </w:rPr>
        <w:t xml:space="preserve">- совершенствованием содержания и методов дошкольного образования;
</w:t>
      </w:r>
    </w:p>
    <w:p>
      <w:pPr>
        <w:jc w:val="both"/>
        <w:spacing w:after="0"/>
      </w:pPr>
      <w:r>
        <w:rPr>
          <w:sz w:val="24"/>
          <w:szCs w:val="24"/>
        </w:rPr>
        <w:t xml:space="preserve">- повышением конкурентоспособности ДОО;
</w:t>
      </w:r>
    </w:p>
    <w:p>
      <w:pPr>
        <w:jc w:val="both"/>
        <w:spacing w:after="0"/>
      </w:pPr>
      <w:r>
        <w:rPr>
          <w:sz w:val="24"/>
          <w:szCs w:val="24"/>
        </w:rPr>
        <w:t xml:space="preserve">- совершенствованием профессиональных и личных компетентностей педагогов без отрыва их от основной работы;
</w:t>
      </w:r>
    </w:p>
    <w:p>
      <w:pPr>
        <w:jc w:val="both"/>
        <w:spacing w:after="0"/>
      </w:pPr>
      <w:r>
        <w:rPr>
          <w:sz w:val="24"/>
          <w:szCs w:val="24"/>
        </w:rPr>
        <w:t xml:space="preserve">- сохранением кадрового потенциала МАДОУ, повышением количества высококвалифицированных педагогических кадров, ориентированных на оказание поддержки ребенку в его личностном развитии;
</w:t>
      </w:r>
    </w:p>
    <w:p>
      <w:pPr>
        <w:jc w:val="both"/>
        <w:spacing w:after="0"/>
      </w:pPr>
      <w:r>
        <w:rPr>
          <w:sz w:val="24"/>
          <w:szCs w:val="24"/>
        </w:rPr>
        <w:t xml:space="preserve">- положительной оценкой результатов реализации модели наставничества всеми участниками образовательных отношений;
</w:t>
      </w:r>
    </w:p>
    <w:p>
      <w:pPr>
        <w:jc w:val="both"/>
        <w:spacing w:after="0"/>
      </w:pPr>
      <w:r>
        <w:rPr>
          <w:sz w:val="24"/>
          <w:szCs w:val="24"/>
        </w:rPr>
        <w:t xml:space="preserve">- востребованностью опыта инновационной работы другими дошкольными образовательными организациями.</w:t>
      </w:r>
    </w:p>
    <w:p>
      <w:pPr>
        <w:jc w:val="left"/>
      </w:pPr>
      <w:r>
        <w:rPr>
          <w:sz w:val="28"/>
          <w:szCs w:val="28"/>
          <w:b w:val="1"/>
          <w:bCs w:val="1"/>
        </w:rPr>
        <w:t xml:space="preserve">Ресурсное обеспечение проекта</w:t>
      </w:r>
    </w:p>
    <w:p>
      <w:pPr>
        <w:jc w:val="both"/>
        <w:spacing w:after="0"/>
      </w:pPr>
      <w:r>
        <w:rPr>
          <w:sz w:val="24"/>
          <w:szCs w:val="24"/>
        </w:rPr>
        <w:t xml:space="preserve">Нормативно-правовое обеспечение проекта по реализации модели наставничества "Шаг вперед".
</w:t>
      </w:r>
    </w:p>
    <w:p>
      <w:pPr>
        <w:jc w:val="both"/>
        <w:spacing w:after="0"/>
      </w:pPr>
      <w:r>
        <w:rPr>
          <w:sz w:val="24"/>
          <w:szCs w:val="24"/>
        </w:rPr>
        <w:t xml:space="preserve">Кадровое обеспечение реализации проекта по реализации модели наставничества "Шаг вперед": Кадровые условия предполагают наличие в образовательной организации: руководителя, разделяющего ценности отечественной системы образования, приоритетные направления ее развития; 
</w:t>
      </w:r>
    </w:p>
    <w:p>
      <w:pPr>
        <w:jc w:val="both"/>
        <w:spacing w:after="0"/>
      </w:pPr>
      <w:r>
        <w:rPr>
          <w:sz w:val="24"/>
          <w:szCs w:val="24"/>
        </w:rPr>
        <w:t xml:space="preserve">куратора реализации персонализированных программ наставничества;
</w:t>
      </w:r>
    </w:p>
    <w:p>
      <w:pPr>
        <w:jc w:val="both"/>
        <w:spacing w:after="0"/>
      </w:pPr>
      <w:r>
        <w:rPr>
          <w:sz w:val="24"/>
          <w:szCs w:val="24"/>
        </w:rPr>
        <w:t xml:space="preserve">наставников – педагогов, которые:
</w:t>
      </w:r>
    </w:p>
    <w:p>
      <w:pPr>
        <w:jc w:val="both"/>
        <w:spacing w:after="0"/>
      </w:pPr>
      <w:r>
        <w:rPr>
          <w:sz w:val="24"/>
          <w:szCs w:val="24"/>
        </w:rPr>
        <w:t xml:space="preserve">• имеют подтвержденные результаты педагогической деятельности;
</w:t>
      </w:r>
    </w:p>
    <w:p>
      <w:pPr>
        <w:jc w:val="both"/>
        <w:spacing w:after="0"/>
      </w:pPr>
      <w:r>
        <w:rPr>
          <w:sz w:val="24"/>
          <w:szCs w:val="24"/>
        </w:rPr>
        <w:t xml:space="preserve">• демонстрируют образцы лучших практик педагогической деятельности, профессионального взаимодействия с коллегами.
</w:t>
      </w:r>
    </w:p>
    <w:p>
      <w:pPr>
        <w:jc w:val="both"/>
        <w:spacing w:after="0"/>
      </w:pPr>
      <w:r>
        <w:rPr>
          <w:sz w:val="24"/>
          <w:szCs w:val="24"/>
        </w:rPr>
        <w:t xml:space="preserve">Учебно-методическое обеспечение проекта по реализации модели наставничества "Шаг вперед": подготовка локальных нормативных актов, программ, сопровождающих процесс наставничества педагогических работников;  цифровая информационно-коммуникационная среда наставничества; изучение, обобщение и распространение положительного опыта работы наставников, обмен инновационным опытом в сфере наставничества педагогических работников; координирование вертикальных и горизонтальных связей 
</w:t>
      </w:r>
    </w:p>
    <w:p>
      <w:pPr>
        <w:jc w:val="both"/>
        <w:spacing w:after="0"/>
      </w:pPr>
      <w:r>
        <w:rPr>
          <w:sz w:val="24"/>
          <w:szCs w:val="24"/>
        </w:rPr>
        <w:t xml:space="preserve">в управлении наставнической деятельностью.
</w:t>
      </w:r>
    </w:p>
    <w:p>
      <w:pPr>
        <w:jc w:val="both"/>
        <w:spacing w:after="0"/>
      </w:pPr>
      <w:r>
        <w:rPr>
          <w:sz w:val="24"/>
          <w:szCs w:val="24"/>
        </w:rPr>
        <w:t xml:space="preserve">Организационное обеспечение проекта по реализации модели наставничества "Шаг вперед".
</w:t>
      </w:r>
    </w:p>
    <w:p>
      <w:pPr>
        <w:jc w:val="both"/>
        <w:spacing w:after="0"/>
      </w:pPr>
      <w:r>
        <w:rPr>
          <w:sz w:val="24"/>
          <w:szCs w:val="24"/>
        </w:rPr>
        <w:t xml:space="preserve">Материально-техническое обеспечение  проекта по реализации модели наставничества "Шаг вперед".
</w:t>
      </w:r>
    </w:p>
    <w:p>
      <w:pPr>
        <w:jc w:val="both"/>
        <w:spacing w:after="0"/>
      </w:pPr>
      <w:r>
        <w:rPr>
          <w:sz w:val="24"/>
          <w:szCs w:val="24"/>
        </w:rPr>
        <w:t xml:space="preserve">Финансово-экономическое обеспечение проекта по реализации модели наставничества "Шаг вперед" (включает в себя мотивирование и стимулирование педагогов).</w:t>
      </w:r>
    </w:p>
    <w:p>
      <w:pPr>
        <w:jc w:val="left"/>
      </w:pPr>
      <w:r>
        <w:rPr>
          <w:sz w:val="28"/>
          <w:szCs w:val="28"/>
          <w:b w:val="1"/>
          <w:bCs w:val="1"/>
          <w:shd w:val="clear" w:fill="CD5C5C"/>
        </w:rPr>
        <w:t xml:space="preserve">Степень использования ресурсов</w:t>
      </w:r>
    </w:p>
    <w:p>
      <w:pPr>
        <w:jc w:val="both"/>
        <w:spacing w:after="0"/>
      </w:pPr>
      <w:r>
        <w:rPr>
          <w:color w:val="8B0000"/>
          <w:sz w:val="24"/>
          <w:szCs w:val="24"/>
        </w:rPr>
        <w:t xml:space="preserve">Весь педагогический персонал задействован в реализации инновационного проекта.  В рамках проекта осуществляется участие педагогов-наставников и молодых специалистов, объединенных в наставнические пары. Педагогический состав ДОО имеет подтвержденные результаты педагогической деятельности;
</w:t>
      </w:r>
    </w:p>
    <w:p>
      <w:pPr>
        <w:jc w:val="both"/>
        <w:spacing w:after="0"/>
      </w:pPr>
      <w:r>
        <w:rPr>
          <w:color w:val="8B0000"/>
          <w:sz w:val="24"/>
          <w:szCs w:val="24"/>
        </w:rPr>
        <w:t xml:space="preserve">педагоги демонстрируют образцы лучших практик педагогической деятельности, профессионального взаимодействия с коллегами; обладают хорошей теоретической и практической подготовкой, владеют современными образовательными технологиями, педагоги со стажем хорошо ориентируются в теме оказания помощи молодым специалистам и  актуальных проблемах дошкольного образования, знают современные тенденции дошкольной педагогики, активно участвуют в профессиональных педагогических мероприятиях, имеют стабильно положительные результаты деятельности. 
</w:t>
      </w:r>
    </w:p>
    <w:p>
      <w:pPr>
        <w:jc w:val="both"/>
        <w:spacing w:after="0"/>
      </w:pPr>
      <w:r>
        <w:rPr>
          <w:color w:val="8B0000"/>
          <w:sz w:val="24"/>
          <w:szCs w:val="24"/>
        </w:rPr>
        <w:t xml:space="preserve">Реализация Проекта по реализации модели наставничества не выдвигает особых требований к материально – техническому обеспечению, так как предполагает использование преимущественно интеллектуального ресурса. Педагогический коллектив использует интернет-ресурсы и сервисы, педагоги зарегистрированы в профессиональных сообществах,  где имеют возможность обогатить свои знания по проблеме наставничества, но и представить свой собственный опыт.  
</w:t>
      </w:r>
    </w:p>
    <w:p>
      <w:pPr>
        <w:jc w:val="both"/>
        <w:spacing w:after="0"/>
      </w:pPr>
      <w:r>
        <w:rPr>
          <w:color w:val="8B0000"/>
          <w:sz w:val="24"/>
          <w:szCs w:val="24"/>
        </w:rPr>
        <w:t xml:space="preserve">Программа реализуется в помещениях ДОО (музыкальный, спортивный залы, групповые помещения, кабинеты специалистов) с использованием имеющегося оборудования и технических средств (ноутбуки, мультимедийное и интерактивное оборудование, принтер и пр.). 
</w:t>
      </w:r>
    </w:p>
    <w:p>
      <w:pPr>
        <w:jc w:val="both"/>
        <w:spacing w:after="0"/>
      </w:pPr>
      <w:r>
        <w:rPr>
          <w:color w:val="8B0000"/>
          <w:sz w:val="24"/>
          <w:szCs w:val="24"/>
        </w:rPr>
        <w:t xml:space="preserve">Информационные условия: официальный сайт МАДОУ  № 20 «Дружный хоровод», официальная страница МАДОУ № 20 «Дружный хоровод»  в ВКонтакте и Одноклассники позволяет транслировать информацию о реализации Программы.</w:t>
      </w:r>
    </w:p>
    <w:p>
      <w:pPr>
        <w:jc w:val="left"/>
      </w:pPr>
      <w:r>
        <w:rPr>
          <w:sz w:val="28"/>
          <w:szCs w:val="28"/>
          <w:b w:val="1"/>
          <w:bCs w:val="1"/>
        </w:rPr>
        <w:t xml:space="preserve">Дополнительная информация</w:t>
      </w:r>
    </w:p>
    <w:p>
      <w:pPr>
        <w:jc w:val="both"/>
        <w:spacing w:after="0"/>
      </w:pPr>
      <w:r>
        <w:rPr>
          <w:sz w:val="24"/>
          <w:szCs w:val="24"/>
        </w:rPr>
        <w:t xml:space="preserve">Основные риски проекта и триггеры для их нивелирования:
</w:t>
      </w:r>
    </w:p>
    <w:p>
      <w:pPr>
        <w:jc w:val="both"/>
        <w:spacing w:after="0"/>
      </w:pPr>
      <w:r>
        <w:rPr>
          <w:sz w:val="24"/>
          <w:szCs w:val="24"/>
        </w:rPr>
        <w:t xml:space="preserve">Невысокая мотивация педагогов для участия в проекте - Индивидуальные консультации, разъяснение необходимости участия в реализации модели наставничества
</w:t>
      </w:r>
    </w:p>
    <w:p>
      <w:pPr>
        <w:jc w:val="both"/>
        <w:spacing w:after="0"/>
      </w:pPr>
      <w:r>
        <w:rPr>
          <w:sz w:val="24"/>
          <w:szCs w:val="24"/>
        </w:rPr>
        <w:t xml:space="preserve">Занятость педагогов, невозможность их участия в мероприятиях реализуемой модели - Организация единого методического дня, оптимальное планирование методической работы в ДОО
</w:t>
      </w:r>
    </w:p>
    <w:p>
      <w:pPr>
        <w:jc w:val="both"/>
        <w:spacing w:after="0"/>
      </w:pPr>
      <w:r>
        <w:rPr>
          <w:sz w:val="24"/>
          <w:szCs w:val="24"/>
        </w:rPr>
        <w:t xml:space="preserve">Отсутствие у педагогического коллектива ясных представлений о ходе реализации модели наставничества - 	Своевременная систематизация промежуточных результатов, коррекция и планирование дальнейшего хода реализации модели</w:t>
      </w:r>
    </w:p>
    <w:sectPr>
      <w:pgSz w:orient="portrait" w:w="11905.511811023622" w:h="16837.79527559055"/>
      <w:pgMar w:top="567" w:right="850.5" w:bottom="1440" w:left="1701"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regipTable">
    <w:name w:val="regipTable"/>
    <w:uiPriority w:val="99"/>
    <w:tblPr>
      <w:tblW w:w="0" w:type="auto"/>
      <w:tblLayout w:type="autofit"/>
      <w:tblCellMar>
        <w:top w:w="50" w:type="dxa"/>
        <w:left w:w="50" w:type="dxa"/>
        <w:right w:w="50" w:type="dxa"/>
        <w:bottom w:w="50" w:type="dxa"/>
      </w:tblCellMar>
      <w:tblBorders>
        <w:top w:val="single" w:sz="1" w:color="00000"/>
        <w:left w:val="single" w:sz="1" w:color="00000"/>
        <w:right w:val="single" w:sz="1" w:color="00000"/>
        <w:bottom w:val="single" w:sz="1" w:color="00000"/>
        <w:insideH w:val="single" w:sz="1" w:color="00000"/>
        <w:insideV w:val="single" w:sz="1" w:color="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2026-06-18T10:47:41+03:00</dcterms:created>
  <dcterms:modified xsi:type="dcterms:W3CDTF">2026-06-18T10:47:41+03:00</dcterms:modified>
</cp:coreProperties>
</file>

<file path=docProps/custom.xml><?xml version="1.0" encoding="utf-8"?>
<Properties xmlns="http://schemas.openxmlformats.org/officeDocument/2006/custom-properties" xmlns:vt="http://schemas.openxmlformats.org/officeDocument/2006/docPropsVTypes"/>
</file>