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6"/>
          <w:szCs w:val="36"/>
          <w:b w:val="1"/>
          <w:bCs w:val="1"/>
        </w:rPr>
        <w:t xml:space="preserve">Частное общеобразовательное учреждение «РЖД лицей №1» (Развитие функциональной грамотности педагога)</w:t>
      </w:r>
    </w:p>
    <w:p>
      <w:pPr>
        <w:jc w:val="center"/>
      </w:pPr>
      <w:r>
        <w:rPr>
          <w:sz w:val="32"/>
          <w:szCs w:val="32"/>
          <w:u w:val="single"/>
        </w:rPr>
        <w:t xml:space="preserve">Образовательная организация</w:t>
      </w:r>
    </w:p>
    <w:p>
      <w:pPr>
        <w:jc w:val="left"/>
      </w:pPr>
      <w:r>
        <w:rPr>
          <w:sz w:val="28"/>
          <w:szCs w:val="28"/>
          <w:b w:val="1"/>
          <w:bCs w:val="1"/>
        </w:rPr>
        <w:t xml:space="preserve">Сведения об образовательной организации</w:t>
      </w:r>
    </w:p>
    <w:tbl>
      <w:tblGrid>
        <w:gridCol w:w="3000" w:type="dxa"/>
        <w:gridCol w:w="7000" w:type="dxa"/>
      </w:tblGrid>
      <w:tblPr>
        <w:tblStyle w:val="regipTable"/>
      </w:tblPr>
      <w:tr>
        <w:trPr/>
        <w:tc>
          <w:tcPr>
            <w:tcW w:w="3000" w:type="dxa"/>
            <w:vAlign w:val="top"/>
            <w:shd w:val="clear" w:fill="F5F5F5"/>
            <w:noWrap/>
          </w:tcPr>
          <w:p>
            <w:pPr/>
            <w:r>
              <w:rPr/>
              <w:t xml:space="preserve">Полное наименование в соответствии с Уставом</w:t>
            </w:r>
          </w:p>
        </w:tc>
        <w:tc>
          <w:tcPr>
            <w:tcW w:w="7000" w:type="dxa"/>
            <w:vAlign w:val="top"/>
            <w:noWrap/>
          </w:tcPr>
          <w:p>
            <w:pPr>
              <w:jc w:val="both"/>
            </w:pPr>
            <w:r>
              <w:rPr>
                <w:sz w:val="24"/>
                <w:szCs w:val="24"/>
              </w:rPr>
              <w:t xml:space="preserve">Частное общеобразовательное учреждение «РЖД лицей №1»</w:t>
            </w:r>
          </w:p>
        </w:tc>
      </w:tr>
      <w:tr>
        <w:trPr/>
        <w:tc>
          <w:tcPr>
            <w:tcW w:w="3000" w:type="dxa"/>
            <w:vAlign w:val="top"/>
            <w:shd w:val="clear" w:fill="F5F5F5"/>
            <w:noWrap/>
          </w:tcPr>
          <w:p>
            <w:pPr/>
            <w:r>
              <w:rPr/>
              <w:t xml:space="preserve">Сокращённое наименование</w:t>
            </w:r>
          </w:p>
        </w:tc>
        <w:tc>
          <w:tcPr>
            <w:tcW w:w="7000" w:type="dxa"/>
            <w:vAlign w:val="top"/>
            <w:noWrap/>
          </w:tcPr>
          <w:p>
            <w:pPr>
              <w:jc w:val="both"/>
            </w:pPr>
            <w:r>
              <w:rPr>
                <w:sz w:val="24"/>
                <w:szCs w:val="24"/>
              </w:rPr>
              <w:t xml:space="preserve">"РЖД лицей №1"</w:t>
            </w:r>
          </w:p>
        </w:tc>
      </w:tr>
      <w:tr>
        <w:trPr/>
        <w:tc>
          <w:tcPr>
            <w:tcW w:w="3000" w:type="dxa"/>
            <w:vAlign w:val="top"/>
            <w:shd w:val="clear" w:fill="F5F5F5"/>
            <w:noWrap/>
          </w:tcPr>
          <w:p>
            <w:pPr/>
            <w:r>
              <w:rPr/>
              <w:t xml:space="preserve">Муниципальное образование</w:t>
            </w:r>
          </w:p>
        </w:tc>
        <w:tc>
          <w:tcPr>
            <w:tcW w:w="7000" w:type="dxa"/>
            <w:vAlign w:val="top"/>
            <w:noWrap/>
          </w:tcPr>
          <w:p>
            <w:pPr>
              <w:jc w:val="both"/>
            </w:pPr>
            <w:r>
              <w:rPr>
                <w:sz w:val="24"/>
                <w:szCs w:val="24"/>
              </w:rPr>
              <w:t xml:space="preserve">Котлас (Городской округ)</w:t>
            </w:r>
          </w:p>
        </w:tc>
      </w:tr>
      <w:tr>
        <w:trPr/>
        <w:tc>
          <w:tcPr>
            <w:tcW w:w="3000" w:type="dxa"/>
            <w:vAlign w:val="top"/>
            <w:shd w:val="clear" w:fill="F5F5F5"/>
            <w:noWrap/>
          </w:tcPr>
          <w:p>
            <w:pPr/>
            <w:r>
              <w:rPr/>
              <w:t xml:space="preserve">Юридический адрес</w:t>
            </w:r>
          </w:p>
        </w:tc>
        <w:tc>
          <w:tcPr>
            <w:tcW w:w="7000" w:type="dxa"/>
            <w:vAlign w:val="top"/>
            <w:noWrap/>
          </w:tcPr>
          <w:p>
            <w:pPr>
              <w:jc w:val="both"/>
            </w:pPr>
            <w:r>
              <w:rPr>
                <w:sz w:val="24"/>
                <w:szCs w:val="24"/>
              </w:rPr>
              <w:t xml:space="preserve">165300, Архангельская область, город Котлас, улица Маяковского, дом 3</w:t>
            </w:r>
          </w:p>
        </w:tc>
      </w:tr>
      <w:tr>
        <w:trPr/>
        <w:tc>
          <w:tcPr>
            <w:tcW w:w="3000" w:type="dxa"/>
            <w:vAlign w:val="top"/>
            <w:shd w:val="clear" w:fill="F5F5F5"/>
            <w:noWrap/>
          </w:tcPr>
          <w:p>
            <w:pPr/>
            <w:r>
              <w:rPr/>
              <w:t xml:space="preserve">Фактический адрес</w:t>
            </w:r>
          </w:p>
        </w:tc>
        <w:tc>
          <w:tcPr>
            <w:tcW w:w="7000" w:type="dxa"/>
            <w:vAlign w:val="top"/>
            <w:noWrap/>
          </w:tcPr>
          <w:p>
            <w:pPr>
              <w:jc w:val="both"/>
            </w:pPr>
            <w:r>
              <w:rPr>
                <w:sz w:val="24"/>
                <w:szCs w:val="24"/>
              </w:rPr>
              <w:t xml:space="preserve">165300, Архангельская область, г.Котлас, улица Маяковского, дом 3</w:t>
            </w:r>
          </w:p>
        </w:tc>
      </w:tr>
      <w:tr>
        <w:trPr/>
        <w:tc>
          <w:tcPr>
            <w:tcW w:w="3000" w:type="dxa"/>
            <w:vAlign w:val="top"/>
            <w:shd w:val="clear" w:fill="F5F5F5"/>
            <w:noWrap/>
          </w:tcPr>
          <w:p>
            <w:pPr/>
            <w:r>
              <w:rPr/>
              <w:t xml:space="preserve">Ф.И.О. руководителя</w:t>
            </w:r>
          </w:p>
        </w:tc>
        <w:tc>
          <w:tcPr>
            <w:tcW w:w="7000" w:type="dxa"/>
            <w:vAlign w:val="top"/>
            <w:noWrap/>
          </w:tcPr>
          <w:p>
            <w:pPr>
              <w:jc w:val="both"/>
            </w:pPr>
            <w:r>
              <w:rPr>
                <w:sz w:val="24"/>
                <w:szCs w:val="24"/>
              </w:rPr>
              <w:t xml:space="preserve">Гудаченко Андрей Валерьевич</w:t>
            </w:r>
          </w:p>
        </w:tc>
      </w:tr>
      <w:tr>
        <w:trPr/>
        <w:tc>
          <w:tcPr>
            <w:tcW w:w="3000" w:type="dxa"/>
            <w:vAlign w:val="top"/>
            <w:shd w:val="clear" w:fill="F5F5F5"/>
            <w:noWrap/>
          </w:tcPr>
          <w:p>
            <w:pPr/>
            <w:r>
              <w:rPr/>
              <w:t xml:space="preserve">Ф.И.О. координатора проекта</w:t>
            </w:r>
          </w:p>
        </w:tc>
        <w:tc>
          <w:tcPr>
            <w:tcW w:w="7000" w:type="dxa"/>
            <w:vAlign w:val="top"/>
            <w:noWrap/>
          </w:tcPr>
          <w:p>
            <w:pPr>
              <w:jc w:val="both"/>
            </w:pPr>
            <w:r>
              <w:rPr>
                <w:sz w:val="24"/>
                <w:szCs w:val="24"/>
              </w:rPr>
              <w:t xml:space="preserve">Аскерова Наталья Алексеевна</w:t>
            </w:r>
          </w:p>
        </w:tc>
      </w:tr>
      <w:tr>
        <w:trPr/>
        <w:tc>
          <w:tcPr>
            <w:tcW w:w="3000" w:type="dxa"/>
            <w:vAlign w:val="top"/>
            <w:shd w:val="clear" w:fill="F5F5F5"/>
            <w:noWrap/>
          </w:tcPr>
          <w:p>
            <w:pPr/>
            <w:r>
              <w:rPr/>
              <w:t xml:space="preserve">Контактный телефон</w:t>
            </w:r>
          </w:p>
        </w:tc>
        <w:tc>
          <w:tcPr>
            <w:tcW w:w="7000" w:type="dxa"/>
            <w:vAlign w:val="top"/>
            <w:noWrap/>
          </w:tcPr>
          <w:p>
            <w:pPr>
              <w:jc w:val="both"/>
            </w:pPr>
            <w:r>
              <w:rPr>
                <w:sz w:val="24"/>
                <w:szCs w:val="24"/>
              </w:rPr>
              <w:t xml:space="preserve">881837 6-46-75</w:t>
            </w:r>
          </w:p>
        </w:tc>
      </w:tr>
      <w:tr>
        <w:trPr/>
        <w:tc>
          <w:tcPr>
            <w:tcW w:w="3000" w:type="dxa"/>
            <w:vAlign w:val="top"/>
            <w:shd w:val="clear" w:fill="F5F5F5"/>
            <w:noWrap/>
          </w:tcPr>
          <w:p>
            <w:pPr/>
            <w:r>
              <w:rPr/>
              <w:t xml:space="preserve">Сайт образовательной организации</w:t>
            </w:r>
          </w:p>
        </w:tc>
        <w:tc>
          <w:tcPr>
            <w:tcW w:w="7000" w:type="dxa"/>
            <w:vAlign w:val="top"/>
            <w:noWrap/>
          </w:tcPr>
          <w:p>
            <w:pPr>
              <w:jc w:val="both"/>
            </w:pPr>
            <w:r>
              <w:rPr>
                <w:sz w:val="24"/>
                <w:szCs w:val="24"/>
              </w:rPr>
              <w:t xml:space="preserve">https://рждлицей1.рф</w:t>
            </w:r>
          </w:p>
        </w:tc>
      </w:tr>
      <w:tr>
        <w:trPr/>
        <w:tc>
          <w:tcPr>
            <w:tcW w:w="3000" w:type="dxa"/>
            <w:vAlign w:val="top"/>
            <w:shd w:val="clear" w:fill="F5F5F5"/>
            <w:noWrap/>
          </w:tcPr>
          <w:p>
            <w:pPr/>
            <w:r>
              <w:rPr/>
              <w:t xml:space="preserve">Адрес электронной почты</w:t>
            </w:r>
          </w:p>
        </w:tc>
        <w:tc>
          <w:tcPr>
            <w:tcW w:w="7000" w:type="dxa"/>
            <w:vAlign w:val="top"/>
            <w:noWrap/>
          </w:tcPr>
          <w:p>
            <w:pPr>
              <w:jc w:val="both"/>
            </w:pPr>
            <w:r>
              <w:rPr>
                <w:sz w:val="24"/>
                <w:szCs w:val="24"/>
              </w:rPr>
              <w:t xml:space="preserve">rzdlyceum1@mail.ru</w:t>
            </w:r>
          </w:p>
        </w:tc>
      </w:tr>
    </w:tbl>
    <w:p/>
    <w:p>
      <w:pPr>
        <w:jc w:val="center"/>
      </w:pPr>
      <w:r>
        <w:rPr>
          <w:sz w:val="32"/>
          <w:szCs w:val="32"/>
          <w:u w:val="single"/>
        </w:rPr>
        <w:t xml:space="preserve">Проект</w:t>
      </w:r>
    </w:p>
    <w:p>
      <w:pPr>
        <w:jc w:val="left"/>
      </w:pPr>
      <w:r>
        <w:rPr>
          <w:sz w:val="28"/>
          <w:szCs w:val="28"/>
          <w:b w:val="1"/>
          <w:bCs w:val="1"/>
        </w:rPr>
        <w:t xml:space="preserve">Общие сведения о проекте</w:t>
      </w:r>
    </w:p>
    <w:tbl>
      <w:tblGrid>
        <w:gridCol w:w="3000" w:type="dxa"/>
        <w:gridCol w:w="7000" w:type="dxa"/>
      </w:tblGrid>
      <w:tblPr>
        <w:tblStyle w:val="regipTable"/>
      </w:tblPr>
      <w:tr>
        <w:trPr/>
        <w:tc>
          <w:tcPr>
            <w:tcW w:w="3000" w:type="dxa"/>
            <w:vAlign w:val="top"/>
            <w:shd w:val="clear" w:fill="F5F5F5"/>
            <w:noWrap/>
          </w:tcPr>
          <w:p>
            <w:pPr/>
            <w:r>
              <w:rPr/>
              <w:t xml:space="preserve">Название проекта</w:t>
            </w:r>
          </w:p>
        </w:tc>
        <w:tc>
          <w:tcPr>
            <w:tcW w:w="7000" w:type="dxa"/>
            <w:vAlign w:val="top"/>
            <w:noWrap/>
          </w:tcPr>
          <w:p>
            <w:pPr>
              <w:jc w:val="both"/>
            </w:pPr>
            <w:r>
              <w:rPr>
                <w:sz w:val="24"/>
                <w:szCs w:val="24"/>
              </w:rPr>
              <w:t xml:space="preserve">Развитие функциональной грамотности педагога</w:t>
            </w:r>
          </w:p>
        </w:tc>
      </w:tr>
      <w:tr>
        <w:trPr/>
        <w:tc>
          <w:tcPr>
            <w:tcW w:w="3000" w:type="dxa"/>
            <w:vAlign w:val="top"/>
            <w:shd w:val="clear" w:fill="F5F5F5"/>
            <w:noWrap/>
          </w:tcPr>
          <w:p>
            <w:pPr/>
            <w:r>
              <w:rPr/>
              <w:t xml:space="preserve">Цель</w:t>
            </w:r>
          </w:p>
        </w:tc>
        <w:tc>
          <w:tcPr>
            <w:tcW w:w="7000" w:type="dxa"/>
            <w:vAlign w:val="top"/>
            <w:noWrap/>
          </w:tcPr>
          <w:p>
            <w:pPr>
              <w:jc w:val="both"/>
            </w:pPr>
            <w:r>
              <w:rPr>
                <w:sz w:val="24"/>
                <w:szCs w:val="24"/>
              </w:rPr>
              <w:t xml:space="preserve">Создание условий для развития функциональной грамотности педагогов.</w:t>
            </w:r>
          </w:p>
        </w:tc>
      </w:tr>
      <w:tr>
        <w:trPr/>
        <w:tc>
          <w:tcPr>
            <w:tcW w:w="3000" w:type="dxa"/>
            <w:vAlign w:val="top"/>
            <w:shd w:val="clear" w:fill="F5F5F5"/>
            <w:noWrap/>
          </w:tcPr>
          <w:p>
            <w:pPr/>
            <w:r>
              <w:rPr/>
              <w:t xml:space="preserve">Задачи</w:t>
            </w:r>
          </w:p>
        </w:tc>
        <w:tc>
          <w:tcPr>
            <w:tcW w:w="7000" w:type="dxa"/>
            <w:vAlign w:val="top"/>
            <w:noWrap/>
          </w:tcPr>
          <w:p>
            <w:pPr>
              <w:jc w:val="both"/>
              <w:spacing w:after="0"/>
            </w:pPr>
            <w:r>
              <w:rPr>
                <w:sz w:val="24"/>
                <w:szCs w:val="24"/>
              </w:rPr>
              <w:t xml:space="preserve">1.	Выявить и реализовать кадровые, организационные условия, обеспечивающие реализацию проекта;
</w:t>
            </w:r>
          </w:p>
          <w:p>
            <w:pPr>
              <w:jc w:val="both"/>
              <w:spacing w:after="0"/>
            </w:pPr>
            <w:r>
              <w:rPr>
                <w:sz w:val="24"/>
                <w:szCs w:val="24"/>
              </w:rPr>
              <w:t xml:space="preserve">2.	Разработать методическое обеспечение деятельности образовательной организации по проблеме формирования функциональной грамотности и транслировать опыт с помощью развития сетевого взаимодействия со школами города и области;
</w:t>
            </w:r>
          </w:p>
          <w:p>
            <w:pPr>
              <w:jc w:val="both"/>
              <w:spacing w:after="0"/>
            </w:pPr>
            <w:r>
              <w:rPr>
                <w:sz w:val="24"/>
                <w:szCs w:val="24"/>
              </w:rPr>
              <w:t xml:space="preserve">3.	Создать банк инновационных практик с разработкой элективных курсов, программ дополнительного образования, курсов внеурочной деятельности, направленные на формирование функциональной грамотности.</w:t>
            </w:r>
          </w:p>
        </w:tc>
      </w:tr>
      <w:tr>
        <w:trPr/>
        <w:tc>
          <w:tcPr>
            <w:tcW w:w="3000" w:type="dxa"/>
            <w:vAlign w:val="top"/>
            <w:shd w:val="clear" w:fill="F5F5F5"/>
            <w:noWrap/>
          </w:tcPr>
          <w:p>
            <w:pPr/>
            <w:r>
              <w:rPr/>
              <w:t xml:space="preserve">Основная идея (идеи) проекта</w:t>
            </w:r>
          </w:p>
        </w:tc>
        <w:tc>
          <w:tcPr>
            <w:tcW w:w="7000" w:type="dxa"/>
            <w:vAlign w:val="top"/>
            <w:noWrap/>
          </w:tcPr>
          <w:p>
            <w:pPr>
              <w:jc w:val="both"/>
            </w:pPr>
            <w:r>
              <w:rPr>
                <w:sz w:val="24"/>
                <w:szCs w:val="24"/>
              </w:rPr>
              <w:t xml:space="preserve">Реализация внедрения современных инновационных образовательных технологий, средств и методов обучения в школах позволит обеспечить развитие функциональной грамотности педагогов, что поспособствует повышению качества и уровня функциональной грамотности всех участников образовательных отношений. В ходе реализации проекта педагоги будут обучаться, задействованы в практическую деятельность, иметь доступ к личному кабинету в цифровом пространстве, где самостоятельно определят свои компетенции через систему тестов.</w:t>
            </w:r>
          </w:p>
        </w:tc>
      </w:tr>
      <w:tr>
        <w:trPr/>
        <w:tc>
          <w:tcPr>
            <w:tcW w:w="3000" w:type="dxa"/>
            <w:vAlign w:val="top"/>
            <w:shd w:val="clear" w:fill="F5F5F5"/>
            <w:noWrap/>
          </w:tcPr>
          <w:p>
            <w:pPr/>
            <w:r>
              <w:rPr/>
              <w:t xml:space="preserve">Обоснование значимости проекта</w:t>
            </w:r>
          </w:p>
        </w:tc>
        <w:tc>
          <w:tcPr>
            <w:tcW w:w="7000" w:type="dxa"/>
            <w:vAlign w:val="top"/>
            <w:noWrap/>
          </w:tcPr>
          <w:p>
            <w:pPr>
              <w:jc w:val="both"/>
              <w:spacing w:after="0"/>
            </w:pPr>
            <w:r>
              <w:rPr>
                <w:sz w:val="24"/>
                <w:szCs w:val="24"/>
              </w:rPr>
              <w:t xml:space="preserve">Участники образовательных отношений, и, в частности, педагоги испытывают колоссальные напряжения в сфере образования.  Образовательные организации признают, что сегодня рост инноваций не соответствуют педагогическим ресурсам, а развитие технологий значительно опережает механизмы реализации образовательных проектов, подготовку педагогических кадров, методических материалов. Перед педагогическим сообществом встает актуальный и в настоящее время недостаточно изученный вопрос формирования нового навыка функциональной грамотности обучающихся – навыка адаптации к неопределенности. 
</w:t>
            </w:r>
          </w:p>
          <w:p>
            <w:pPr>
              <w:jc w:val="both"/>
              <w:spacing w:after="0"/>
            </w:pPr>
            <w:r>
              <w:rPr>
                <w:sz w:val="24"/>
                <w:szCs w:val="24"/>
              </w:rPr>
              <w:t xml:space="preserve">Практическая значимость проекта заключается в том, что педагоги области будут иметь возможность получить консультационную поддержку, обратную связь при формировании у себя функциональной грамотности, надпрофессиональных, профессиональных компетенций; возможность пройти диагностику в удобное время в формате онлайн, сделать выводы по результатам своей деятельности и с помощью специалистов скорректировать ее.</w:t>
            </w:r>
          </w:p>
        </w:tc>
      </w:tr>
    </w:tbl>
    <w:p/>
    <w:p>
      <w:pPr>
        <w:jc w:val="left"/>
      </w:pPr>
      <w:r>
        <w:rPr>
          <w:sz w:val="28"/>
          <w:szCs w:val="28"/>
          <w:b w:val="1"/>
          <w:bCs w:val="1"/>
        </w:rPr>
        <w:t xml:space="preserve">Описание реализации проекта</w:t>
      </w:r>
    </w:p>
    <w:p>
      <w:pPr>
        <w:jc w:val="both"/>
      </w:pPr>
      <w:r>
        <w:rPr>
          <w:sz w:val="24"/>
          <w:szCs w:val="24"/>
        </w:rPr>
        <w:t xml:space="preserve">Каждый проект начинается с выявления проблемы. Полагаю, что проблема формирования и развития функциональной грамотности у педагогов актуальна, в том числе и в Архангельской области. Прежде всего, проект будет основываться на анализе научной литературы и статей педагогического сообщества. Далее определяем для себя принципы, методы и приемы, которые будем использовать при организации работы. Разрабатываем направления работы и программы. Организуем диагностику на предмет выявления уровней сформированности функциональной грамотности. По первому этапу подводим итоги, организуя семинар.  На втором этапе разрабатываем программно-методическое обеспечение, направленное на формирование функциональной грамотности. Составляем банк открытых заданий для оценки уровня функциональной грамотности, надпрофессиональных и профессиональных компетенций по типу «Флагманы образования», обеспечивая оформление на сайте соответствующей вкладки «Инновационная площадка», где педагоги смогут зарегистрироваться и иметь доступ в свой личный кабинет. Организация итогового семинара по данному этапу проекта в режиме онлайн. На следующем этапе будет организация ряда мероприятий с мастер-классами, научно-практическими выступлениями с последующим формированием банка методических разработок, в том числе на сайте в разделе «Инновационная площадка». После организованных мероприятий в личных кабинетах участников появится тестирование по комплексной проверке уровня сформированности надрофессиональных компетенций и специальных (профессиональных) знаний педагогов. После тестирования педагоги увидят свои результаты и рекомендации. У организаторов проекта появится информация по уровням сформированности компетенций (количество педагогов высокого уровня, среднего и низкого). Исходя из этих данных будет решаться вопрос о прохождении курсов повышения профессиональной подготовки (по необходимости). По данному этапу будет организован итоговый семинар. На последнем этапе распространение опыта работы по реализации проекта будет организована через СМИ, сайт, социальные сети, оформление сборников методических разработок. Представление результатов работы с педагогами по формированию функциональной грамотности будет представлено на итоговой научно-практической конференции.</w:t>
      </w:r>
    </w:p>
    <w:p>
      <w:pPr>
        <w:jc w:val="left"/>
      </w:pPr>
      <w:r>
        <w:rPr>
          <w:sz w:val="28"/>
          <w:szCs w:val="28"/>
          <w:b w:val="1"/>
          <w:bCs w:val="1"/>
        </w:rPr>
        <w:t xml:space="preserve">Исходные теоретические положения</w:t>
      </w:r>
    </w:p>
    <w:p>
      <w:pPr>
        <w:jc w:val="both"/>
        <w:spacing w:after="0"/>
      </w:pPr>
      <w:r>
        <w:rPr>
          <w:sz w:val="24"/>
          <w:szCs w:val="24"/>
        </w:rPr>
        <w:t xml:space="preserve">Психолог и лингвист Алексей Леонтьев   говорил, что функциональная грамотность — это прежде всего умение работать с информацией. В 2003 году под его редакцией вышел сборник об образовательной системе «Школа 2100», где содержалось такое широкое определение: «функционально грамотная личность — это личность, которая способна использовать все постоянно приобретаемые в течение жизни знания, умения и навыки для решения максимально широкого диапазона жизненных задач в различных сферах человеческой деятельности, общения и социальных отношений». Функциональная грамотность - это способность и умение самостоятельно искать, анализировать, обрабатывать и усваивать необходимую информацию из различных источников. В современном обществе каждому человеку приходится постоянно иметь дело с огромным потоком информации и, чтобы уверенно ориентироваться в этом потоке, необходимо иметь элементарные навыки работы с информацией, такие как: поиск, анализ, обработка, хранение, использование и применение информации в максимально рациональной форме. 
</w:t>
      </w:r>
    </w:p>
    <w:p>
      <w:pPr>
        <w:jc w:val="both"/>
        <w:spacing w:after="0"/>
      </w:pPr>
      <w:r>
        <w:rPr>
          <w:sz w:val="24"/>
          <w:szCs w:val="24"/>
        </w:rPr>
        <w:t xml:space="preserve">Анализ результатов ВПР в 4 классе и результатов участия российских школьников в международных исследованиях (PIRLS, TIMS) выявил основные недостатки в достижении младших школьников:
</w:t>
      </w:r>
    </w:p>
    <w:p>
      <w:pPr>
        <w:jc w:val="both"/>
        <w:spacing w:after="0"/>
      </w:pPr>
      <w:r>
        <w:rPr>
          <w:sz w:val="24"/>
          <w:szCs w:val="24"/>
        </w:rPr>
        <w:t xml:space="preserve">- недостаточно владеют смысловым чтением;
</w:t>
      </w:r>
    </w:p>
    <w:p>
      <w:pPr>
        <w:jc w:val="both"/>
        <w:spacing w:after="0"/>
      </w:pPr>
      <w:r>
        <w:rPr>
          <w:sz w:val="24"/>
          <w:szCs w:val="24"/>
        </w:rPr>
        <w:t xml:space="preserve">- не справляются с задачами на интерпретацию информации;
</w:t>
      </w:r>
    </w:p>
    <w:p>
      <w:pPr>
        <w:jc w:val="both"/>
        <w:spacing w:after="0"/>
      </w:pPr>
      <w:r>
        <w:rPr>
          <w:sz w:val="24"/>
          <w:szCs w:val="24"/>
        </w:rPr>
        <w:t xml:space="preserve">- затрудняются в решении задач, требующих анализа и обобщения;
</w:t>
      </w:r>
    </w:p>
    <w:p>
      <w:pPr>
        <w:jc w:val="both"/>
        <w:spacing w:after="0"/>
      </w:pPr>
      <w:r>
        <w:rPr>
          <w:sz w:val="24"/>
          <w:szCs w:val="24"/>
        </w:rPr>
        <w:t xml:space="preserve">- не умеют высказывать предположения, строить доказательства.
</w:t>
      </w:r>
    </w:p>
    <w:p>
      <w:pPr>
        <w:jc w:val="both"/>
        <w:spacing w:after="0"/>
      </w:pPr>
      <w:r>
        <w:rPr>
          <w:sz w:val="24"/>
          <w:szCs w:val="24"/>
        </w:rPr>
        <w:t xml:space="preserve">Главная причина такого положения кроется в том, что задания на уроке в
</w:t>
      </w:r>
    </w:p>
    <w:p>
      <w:pPr>
        <w:jc w:val="both"/>
        <w:spacing w:after="0"/>
      </w:pPr>
      <w:r>
        <w:rPr>
          <w:sz w:val="24"/>
          <w:szCs w:val="24"/>
        </w:rPr>
        <w:t xml:space="preserve">основном носят репродуктивный характер. Недостаточное внимание педагоги уделяют построению поисково-исследовательской деятельности учащихся на уроке, формированию у них навыков самостоятельной организации своей деятельности.
</w:t>
      </w:r>
    </w:p>
    <w:p>
      <w:pPr>
        <w:jc w:val="both"/>
        <w:spacing w:after="0"/>
      </w:pPr>
      <w:r>
        <w:rPr>
          <w:sz w:val="24"/>
          <w:szCs w:val="24"/>
        </w:rPr>
        <w:t xml:space="preserve">В Государственной программе РФ «Развитие образования» (2018-2025 годы) от 26 декабря 2017 г. изменяется запрос на качество образования и приоритетной целью становится - формирование функциональной грамотности в системе общего образования. 
</w:t>
      </w:r>
    </w:p>
    <w:p>
      <w:pPr>
        <w:jc w:val="both"/>
        <w:spacing w:after="0"/>
      </w:pPr>
      <w:r>
        <w:rPr>
          <w:sz w:val="24"/>
          <w:szCs w:val="24"/>
        </w:rPr>
        <w:t xml:space="preserve">Вышесказанные положения позволяют нам сделать вывод о тесной взаимосвязи понятий «универсальные учебные действия» и «функциональная грамотность». Наибольшая трудность, с которой сталкиваются учителя сегодня - это те изменения, которые надо учесть в процессе обучения уже на начальной ступени образования для достижения именно метапредметных и личностных результатов и, как следствие, для начала формирования функциональной грамотности у школьников.
</w:t>
      </w:r>
    </w:p>
    <w:p>
      <w:pPr>
        <w:jc w:val="both"/>
        <w:spacing w:after="0"/>
      </w:pPr>
      <w:r>
        <w:rPr>
          <w:sz w:val="24"/>
          <w:szCs w:val="24"/>
        </w:rPr>
        <w:t xml:space="preserve">По данным федерального института оценки качества образования региональная оценка модели PISA-2022 в Архангельской области показала уровень функциональной грамотности у обучающихся от 15 лет до 16 лет. В данном исследовании принимали участие 103 образовательные организации области и 3568 участников. Доля образовательных организаций с высокими результатами 19%, со средними результатами 55%, с низкими результатами 25%.
</w:t>
      </w:r>
    </w:p>
    <w:p>
      <w:pPr>
        <w:jc w:val="both"/>
        <w:spacing w:after="0"/>
      </w:pPr>
      <w:r>
        <w:rPr>
          <w:sz w:val="24"/>
          <w:szCs w:val="24"/>
        </w:rPr>
        <w:t xml:space="preserve"> В Архангельской области по результатам исследования в 2022 году средний балл по читательской грамотности составил 487 баллов (26 место), математической – 490 баллов (30 место), естественно-научной – 468 баллов (40 место).
</w:t>
      </w:r>
    </w:p>
    <w:p>
      <w:pPr>
        <w:jc w:val="both"/>
        <w:spacing w:after="0"/>
      </w:pPr>
      <w:r>
        <w:rPr>
          <w:sz w:val="24"/>
          <w:szCs w:val="24"/>
        </w:rPr>
        <w:t xml:space="preserve">Средневзвешенное место Архангельской области – 14,6 (России – 10,5).
</w:t>
      </w:r>
    </w:p>
    <w:p>
      <w:pPr>
        <w:jc w:val="both"/>
        <w:spacing w:after="0"/>
      </w:pPr>
      <w:r>
        <w:rPr>
          <w:sz w:val="24"/>
          <w:szCs w:val="24"/>
        </w:rPr>
        <w:t xml:space="preserve">Среди участников региональной оценки по модели PISA в Архангельской области 20% не достигли порогового уровня по читательской грамотности, 16% – по математической грамотности, 21% не преодолели порог второго уровня по естественно- научной грамотности.
</w:t>
      </w:r>
    </w:p>
    <w:p>
      <w:pPr>
        <w:jc w:val="both"/>
        <w:spacing w:after="0"/>
      </w:pPr>
      <w:r>
        <w:rPr>
          <w:sz w:val="24"/>
          <w:szCs w:val="24"/>
        </w:rPr>
        <w:t xml:space="preserve">Разница между 25% лучших и 25% худших результатов по итогам исследования составила: по читательской грамотности – 137 баллов, математической – 128 баллов, естественно-научной – 120 баллов. 
</w:t>
      </w:r>
    </w:p>
    <w:p>
      <w:pPr>
        <w:jc w:val="both"/>
        <w:spacing w:after="0"/>
      </w:pPr>
      <w:r>
        <w:rPr>
          <w:sz w:val="24"/>
          <w:szCs w:val="24"/>
        </w:rPr>
        <w:t xml:space="preserve">	Происходящие изменения в современном обществе требуют развития новых способов образования, педагогических технологий, нацеленных на индивидуальное развитие личности, творческую инициацию, формирование у учащихся универсального умения ставить и решать задачи для разрешения возникающих в жизни проблем — профессиональной деятельности, самоопределения, повседневной жизни. 
</w:t>
      </w:r>
    </w:p>
    <w:p>
      <w:pPr>
        <w:jc w:val="both"/>
        <w:spacing w:after="0"/>
      </w:pPr>
      <w:r>
        <w:rPr>
          <w:sz w:val="24"/>
          <w:szCs w:val="24"/>
        </w:rPr>
        <w:t xml:space="preserve">  В соответствии с письмом Министерства просвещения РФ от 14 сентября 2021 года № 03 – 1510 «Об организации работы по повышению функциональной грамотности», а также в целях реализации комплекса мероприятий по повышению качества общего образования в Архангельской области были приняты меры по повышению качества функциональной грамотности. Тем не менее, актуальность данного вопроса в области остается.
</w:t>
      </w:r>
    </w:p>
    <w:p>
      <w:pPr>
        <w:jc w:val="both"/>
        <w:spacing w:after="0"/>
      </w:pPr>
      <w:r>
        <w:rPr>
          <w:sz w:val="24"/>
          <w:szCs w:val="24"/>
        </w:rPr>
        <w:t xml:space="preserve">	         Поэтому проект «Развитие функциональной грамотности педагогов» направлен на создание условий для развития функциональной грамотности. Пока педагоги не освоят функциональную грамотность сами и не начнут применять ее в своей работе, обучающиеся не смогут обучиться в полной мере этой компетенции, а значит не смогут в полной мере конкурировать с другими учениками, выпускниками.</w:t>
      </w:r>
    </w:p>
    <w:p>
      <w:pPr>
        <w:jc w:val="left"/>
      </w:pPr>
      <w:r>
        <w:rPr>
          <w:sz w:val="28"/>
          <w:szCs w:val="28"/>
          <w:b w:val="1"/>
          <w:bCs w:val="1"/>
        </w:rPr>
        <w:t xml:space="preserve">Этап 1 - 20.06.2024</w:t>
      </w:r>
    </w:p>
    <w:tbl>
      <w:tblGrid>
        <w:gridCol w:w="3000" w:type="dxa"/>
        <w:gridCol w:w="7000" w:type="dxa"/>
      </w:tblGrid>
      <w:tblPr>
        <w:tblStyle w:val="regipTable"/>
      </w:tblPr>
      <w:tr>
        <w:trPr/>
        <w:tc>
          <w:tcPr>
            <w:tcW w:w="3000" w:type="dxa"/>
            <w:vAlign w:val="top"/>
            <w:shd w:val="clear" w:fill="F5F5F5"/>
            <w:noWrap/>
          </w:tcPr>
          <w:p>
            <w:pPr/>
            <w:r>
              <w:rPr/>
              <w:t xml:space="preserve">Срок реализации (от)</w:t>
            </w:r>
          </w:p>
        </w:tc>
        <w:tc>
          <w:tcPr>
            <w:tcW w:w="7000" w:type="dxa"/>
            <w:vAlign w:val="top"/>
            <w:noWrap/>
          </w:tcPr>
          <w:p>
            <w:pPr>
              <w:jc w:val="both"/>
            </w:pPr>
            <w:r>
              <w:rPr>
                <w:sz w:val="24"/>
                <w:szCs w:val="24"/>
              </w:rPr>
              <w:t xml:space="preserve">20.12.2023</w:t>
            </w:r>
          </w:p>
        </w:tc>
      </w:tr>
      <w:tr>
        <w:trPr/>
        <w:tc>
          <w:tcPr>
            <w:tcW w:w="3000" w:type="dxa"/>
            <w:vAlign w:val="top"/>
            <w:shd w:val="clear" w:fill="F5F5F5"/>
            <w:noWrap/>
          </w:tcPr>
          <w:p>
            <w:pPr/>
            <w:r>
              <w:rPr/>
              <w:t xml:space="preserve">Срок реализации (до)</w:t>
            </w:r>
          </w:p>
        </w:tc>
        <w:tc>
          <w:tcPr>
            <w:tcW w:w="7000" w:type="dxa"/>
            <w:vAlign w:val="top"/>
            <w:noWrap/>
          </w:tcPr>
          <w:p>
            <w:pPr>
              <w:jc w:val="both"/>
            </w:pPr>
            <w:r>
              <w:rPr>
                <w:sz w:val="24"/>
                <w:szCs w:val="24"/>
              </w:rPr>
              <w:t xml:space="preserve">20.06.2024</w:t>
            </w:r>
          </w:p>
        </w:tc>
      </w:tr>
      <w:tr>
        <w:trPr/>
        <w:tc>
          <w:tcPr>
            <w:tcW w:w="3000" w:type="dxa"/>
            <w:vAlign w:val="top"/>
            <w:shd w:val="clear" w:fill="F5F5F5"/>
            <w:noWrap/>
          </w:tcPr>
          <w:p>
            <w:pPr/>
            <w:r>
              <w:rPr/>
              <w:t xml:space="preserve">Содержание и методы деятельности</w:t>
            </w:r>
          </w:p>
        </w:tc>
        <w:tc>
          <w:tcPr>
            <w:tcW w:w="7000" w:type="dxa"/>
            <w:vAlign w:val="top"/>
            <w:noWrap/>
          </w:tcPr>
          <w:p>
            <w:pPr>
              <w:jc w:val="both"/>
              <w:spacing w:after="0"/>
            </w:pPr>
            <w:r>
              <w:rPr>
                <w:sz w:val="24"/>
                <w:szCs w:val="24"/>
              </w:rPr>
              <w:t xml:space="preserve">1.	Информированность педагогического сообщества области о предстоящем проекте.
</w:t>
            </w:r>
          </w:p>
          <w:p>
            <w:pPr>
              <w:jc w:val="both"/>
              <w:spacing w:after="0"/>
            </w:pPr>
            <w:r>
              <w:rPr>
                <w:sz w:val="24"/>
                <w:szCs w:val="24"/>
              </w:rPr>
              <w:t xml:space="preserve">2.	Рассмотреть теоретические аспекты процесса формирования функциональной грамотности. 
</w:t>
            </w:r>
          </w:p>
          <w:p>
            <w:pPr>
              <w:jc w:val="both"/>
              <w:spacing w:after="0"/>
            </w:pPr>
            <w:r>
              <w:rPr>
                <w:sz w:val="24"/>
                <w:szCs w:val="24"/>
              </w:rPr>
              <w:t xml:space="preserve">3.	Анализ литературы по проблеме формирования функциональной грамотности. Изучение методики опыта международных и российских исследований.
</w:t>
            </w:r>
          </w:p>
          <w:p>
            <w:pPr>
              <w:jc w:val="both"/>
              <w:spacing w:after="0"/>
            </w:pPr>
            <w:r>
              <w:rPr>
                <w:sz w:val="24"/>
                <w:szCs w:val="24"/>
              </w:rPr>
              <w:t xml:space="preserve">4.	Выявление принципов, приемов, форм и методов работы. 
</w:t>
            </w:r>
          </w:p>
          <w:p>
            <w:pPr>
              <w:jc w:val="both"/>
              <w:spacing w:after="0"/>
            </w:pPr>
            <w:r>
              <w:rPr>
                <w:sz w:val="24"/>
                <w:szCs w:val="24"/>
              </w:rPr>
              <w:t xml:space="preserve">
</w:t>
            </w:r>
          </w:p>
          <w:p>
            <w:pPr>
              <w:jc w:val="both"/>
              <w:spacing w:after="0"/>
            </w:pPr>
            <w:r>
              <w:rPr>
                <w:sz w:val="24"/>
                <w:szCs w:val="24"/>
              </w:rPr>
              <w:t xml:space="preserve">
</w:t>
            </w:r>
          </w:p>
          <w:p>
            <w:pPr>
              <w:jc w:val="both"/>
              <w:spacing w:after="0"/>
            </w:pPr>
            <w:r>
              <w:rPr>
                <w:sz w:val="24"/>
                <w:szCs w:val="24"/>
              </w:rPr>
              <w:t xml:space="preserve">
</w:t>
            </w:r>
          </w:p>
          <w:p>
            <w:pPr>
              <w:jc w:val="both"/>
              <w:spacing w:after="0"/>
            </w:pPr>
            <w:r>
              <w:rPr>
                <w:sz w:val="24"/>
                <w:szCs w:val="24"/>
              </w:rPr>
              <w:t xml:space="preserve">5.	Разработка программ, обеспечивающих реализацию педагогического проекта.
</w:t>
            </w:r>
          </w:p>
          <w:p>
            <w:pPr>
              <w:jc w:val="both"/>
              <w:spacing w:after="0"/>
            </w:pPr>
            <w:r>
              <w:rPr>
                <w:sz w:val="24"/>
                <w:szCs w:val="24"/>
              </w:rPr>
              <w:t xml:space="preserve">6.	Исходный мониторинг по формированию функциональной грамотности.
</w:t>
            </w:r>
          </w:p>
          <w:p>
            <w:pPr>
              <w:jc w:val="both"/>
              <w:spacing w:after="0"/>
            </w:pPr>
            <w:r>
              <w:rPr>
                <w:sz w:val="24"/>
                <w:szCs w:val="24"/>
              </w:rPr>
              <w:t xml:space="preserve">
</w:t>
            </w:r>
          </w:p>
          <w:p>
            <w:pPr>
              <w:jc w:val="both"/>
              <w:spacing w:after="0"/>
            </w:pPr>
            <w:r>
              <w:rPr>
                <w:sz w:val="24"/>
                <w:szCs w:val="24"/>
              </w:rPr>
              <w:t xml:space="preserve">7.	Итоговый семинар по данному этапу проекта в режиме онлайн. + обратная связь.
</w:t>
            </w:r>
          </w:p>
          <w:p>
            <w:pPr>
              <w:jc w:val="both"/>
              <w:spacing w:after="0"/>
            </w:pPr>
            <w:r>
              <w:rPr>
                <w:sz w:val="24"/>
                <w:szCs w:val="24"/>
              </w:rPr>
              <w:t xml:space="preserve">Методы:
</w:t>
            </w:r>
          </w:p>
          <w:p>
            <w:pPr>
              <w:jc w:val="both"/>
              <w:spacing w:after="0"/>
            </w:pPr>
            <w:r>
              <w:rPr>
                <w:sz w:val="24"/>
                <w:szCs w:val="24"/>
              </w:rPr>
              <w:t xml:space="preserve">
</w:t>
            </w:r>
          </w:p>
          <w:p>
            <w:pPr>
              <w:jc w:val="both"/>
              <w:spacing w:after="0"/>
            </w:pPr>
            <w:r>
              <w:rPr>
                <w:sz w:val="24"/>
                <w:szCs w:val="24"/>
              </w:rPr>
              <w:t xml:space="preserve">
</w:t>
            </w:r>
          </w:p>
          <w:p>
            <w:pPr>
              <w:jc w:val="both"/>
              <w:spacing w:after="0"/>
            </w:pPr>
            <w:r>
              <w:rPr>
                <w:sz w:val="24"/>
                <w:szCs w:val="24"/>
              </w:rPr>
              <w:t xml:space="preserve">
</w:t>
            </w:r>
          </w:p>
          <w:p>
            <w:pPr>
              <w:jc w:val="both"/>
              <w:spacing w:after="0"/>
            </w:pPr>
            <w:r>
              <w:rPr>
                <w:sz w:val="24"/>
                <w:szCs w:val="24"/>
              </w:rPr>
              <w:t xml:space="preserve">
</w:t>
            </w:r>
          </w:p>
          <w:p>
            <w:pPr>
              <w:jc w:val="both"/>
              <w:spacing w:after="0"/>
            </w:pPr>
            <w:r>
              <w:rPr>
                <w:sz w:val="24"/>
                <w:szCs w:val="24"/>
              </w:rPr>
              <w:t xml:space="preserve">Анализ документов, научных статей.
</w:t>
            </w:r>
          </w:p>
          <w:p>
            <w:pPr>
              <w:jc w:val="both"/>
              <w:spacing w:after="0"/>
            </w:pPr>
            <w:r>
              <w:rPr>
                <w:sz w:val="24"/>
                <w:szCs w:val="24"/>
              </w:rPr>
              <w:t xml:space="preserve">
</w:t>
            </w:r>
          </w:p>
          <w:p>
            <w:pPr>
              <w:jc w:val="both"/>
              <w:spacing w:after="0"/>
            </w:pPr>
            <w:r>
              <w:rPr>
                <w:sz w:val="24"/>
                <w:szCs w:val="24"/>
              </w:rPr>
              <w:t xml:space="preserve">
</w:t>
            </w:r>
          </w:p>
          <w:p>
            <w:pPr>
              <w:jc w:val="both"/>
              <w:spacing w:after="0"/>
            </w:pPr>
            <w:r>
              <w:rPr>
                <w:sz w:val="24"/>
                <w:szCs w:val="24"/>
              </w:rPr>
              <w:t xml:space="preserve">
</w:t>
            </w:r>
          </w:p>
          <w:p>
            <w:pPr>
              <w:jc w:val="both"/>
              <w:spacing w:after="0"/>
            </w:pPr>
            <w:r>
              <w:rPr>
                <w:sz w:val="24"/>
                <w:szCs w:val="24"/>
              </w:rPr>
              <w:t xml:space="preserve">
</w:t>
            </w:r>
          </w:p>
          <w:p>
            <w:pPr>
              <w:jc w:val="both"/>
              <w:spacing w:after="0"/>
            </w:pPr>
            <w:r>
              <w:rPr>
                <w:sz w:val="24"/>
                <w:szCs w:val="24"/>
              </w:rPr>
              <w:t xml:space="preserve">
</w:t>
            </w:r>
          </w:p>
          <w:p>
            <w:pPr>
              <w:jc w:val="both"/>
              <w:spacing w:after="0"/>
            </w:pPr>
            <w:r>
              <w:rPr>
                <w:sz w:val="24"/>
                <w:szCs w:val="24"/>
              </w:rPr>
              <w:t xml:space="preserve">
</w:t>
            </w:r>
          </w:p>
          <w:p>
            <w:pPr>
              <w:jc w:val="both"/>
              <w:spacing w:after="0"/>
            </w:pPr>
            <w:r>
              <w:rPr>
                <w:sz w:val="24"/>
                <w:szCs w:val="24"/>
              </w:rPr>
              <w:t xml:space="preserve">
</w:t>
            </w:r>
          </w:p>
          <w:p>
            <w:pPr>
              <w:jc w:val="both"/>
              <w:spacing w:after="0"/>
            </w:pPr>
            <w:r>
              <w:rPr>
                <w:sz w:val="24"/>
                <w:szCs w:val="24"/>
              </w:rPr>
              <w:t xml:space="preserve">
</w:t>
            </w:r>
          </w:p>
          <w:p>
            <w:pPr>
              <w:jc w:val="both"/>
              <w:spacing w:after="0"/>
            </w:pPr>
            <w:r>
              <w:rPr>
                <w:sz w:val="24"/>
                <w:szCs w:val="24"/>
              </w:rPr>
              <w:t xml:space="preserve">
</w:t>
            </w:r>
          </w:p>
          <w:p>
            <w:pPr>
              <w:jc w:val="both"/>
              <w:spacing w:after="0"/>
            </w:pPr>
            <w:r>
              <w:rPr>
                <w:sz w:val="24"/>
                <w:szCs w:val="24"/>
              </w:rPr>
              <w:t xml:space="preserve">
</w:t>
            </w:r>
          </w:p>
          <w:p>
            <w:pPr>
              <w:jc w:val="both"/>
              <w:spacing w:after="0"/>
            </w:pPr>
            <w:r>
              <w:rPr>
                <w:sz w:val="24"/>
                <w:szCs w:val="24"/>
              </w:rPr>
              <w:t xml:space="preserve">
</w:t>
            </w:r>
          </w:p>
          <w:p>
            <w:pPr>
              <w:jc w:val="both"/>
              <w:spacing w:after="0"/>
            </w:pPr>
            <w:r>
              <w:rPr>
                <w:sz w:val="24"/>
                <w:szCs w:val="24"/>
              </w:rPr>
              <w:t xml:space="preserve">
</w:t>
            </w:r>
          </w:p>
          <w:p>
            <w:pPr>
              <w:jc w:val="both"/>
              <w:spacing w:after="0"/>
            </w:pPr>
            <w:r>
              <w:rPr>
                <w:sz w:val="24"/>
                <w:szCs w:val="24"/>
              </w:rPr>
              <w:t xml:space="preserve">
</w:t>
            </w:r>
          </w:p>
          <w:p>
            <w:pPr>
              <w:jc w:val="both"/>
              <w:spacing w:after="0"/>
            </w:pPr>
            <w:r>
              <w:rPr>
                <w:sz w:val="24"/>
                <w:szCs w:val="24"/>
              </w:rPr>
              <w:t xml:space="preserve">
</w:t>
            </w:r>
          </w:p>
          <w:p>
            <w:pPr>
              <w:jc w:val="both"/>
              <w:spacing w:after="0"/>
            </w:pPr>
            <w:r>
              <w:rPr>
                <w:sz w:val="24"/>
                <w:szCs w:val="24"/>
              </w:rPr>
              <w:t xml:space="preserve">
</w:t>
            </w:r>
          </w:p>
          <w:p>
            <w:pPr>
              <w:jc w:val="both"/>
              <w:spacing w:after="0"/>
            </w:pPr>
            <w:r>
              <w:rPr>
                <w:sz w:val="24"/>
                <w:szCs w:val="24"/>
              </w:rPr>
              <w:t xml:space="preserve">
</w:t>
            </w:r>
          </w:p>
          <w:p>
            <w:pPr>
              <w:jc w:val="both"/>
              <w:spacing w:after="0"/>
            </w:pPr>
            <w:r>
              <w:rPr>
                <w:sz w:val="24"/>
                <w:szCs w:val="24"/>
              </w:rPr>
              <w:t xml:space="preserve">
</w:t>
            </w:r>
          </w:p>
          <w:p>
            <w:pPr>
              <w:jc w:val="both"/>
              <w:spacing w:after="0"/>
            </w:pPr>
            <w:r>
              <w:rPr>
                <w:sz w:val="24"/>
                <w:szCs w:val="24"/>
              </w:rPr>
              <w:t xml:space="preserve">
</w:t>
            </w:r>
          </w:p>
          <w:p>
            <w:pPr>
              <w:jc w:val="both"/>
              <w:spacing w:after="0"/>
            </w:pPr>
            <w:r>
              <w:rPr>
                <w:sz w:val="24"/>
                <w:szCs w:val="24"/>
              </w:rPr>
              <w:t xml:space="preserve">Тестирование. 
</w:t>
            </w:r>
          </w:p>
          <w:p>
            <w:pPr>
              <w:jc w:val="both"/>
              <w:spacing w:after="0"/>
            </w:pPr>
            <w:r>
              <w:rPr>
                <w:sz w:val="24"/>
                <w:szCs w:val="24"/>
              </w:rPr>
              <w:t xml:space="preserve">
</w:t>
            </w:r>
          </w:p>
          <w:p>
            <w:pPr>
              <w:jc w:val="both"/>
              <w:spacing w:after="0"/>
            </w:pPr>
            <w:r>
              <w:rPr>
                <w:sz w:val="24"/>
                <w:szCs w:val="24"/>
              </w:rPr>
              <w:t xml:space="preserve">
</w:t>
            </w:r>
          </w:p>
          <w:p>
            <w:pPr>
              <w:jc w:val="both"/>
              <w:spacing w:after="0"/>
            </w:pPr>
            <w:r>
              <w:rPr>
                <w:sz w:val="24"/>
                <w:szCs w:val="24"/>
              </w:rPr>
              <w:t xml:space="preserve">
</w:t>
            </w:r>
          </w:p>
          <w:p>
            <w:pPr>
              <w:jc w:val="both"/>
              <w:spacing w:after="0"/>
            </w:pPr>
            <w:r>
              <w:rPr>
                <w:sz w:val="24"/>
                <w:szCs w:val="24"/>
              </w:rPr>
              <w:t xml:space="preserve">
</w:t>
            </w:r>
          </w:p>
          <w:p>
            <w:pPr>
              <w:jc w:val="both"/>
              <w:spacing w:after="0"/>
            </w:pPr>
            <w:r>
              <w:rPr>
                <w:sz w:val="24"/>
                <w:szCs w:val="24"/>
              </w:rPr>
              <w:t xml:space="preserve">Анализ, обобщение в форме итогового семинара.</w:t>
            </w:r>
          </w:p>
        </w:tc>
      </w:tr>
      <w:tr>
        <w:trPr/>
        <w:tc>
          <w:tcPr>
            <w:tcW w:w="3000" w:type="dxa"/>
            <w:vAlign w:val="top"/>
            <w:shd w:val="clear" w:fill="F5F5F5"/>
            <w:noWrap/>
          </w:tcPr>
          <w:p>
            <w:pPr/>
            <w:r>
              <w:rPr/>
              <w:t xml:space="preserve">Прогнозируемые результаты (перечень конечной продукции)</w:t>
            </w:r>
          </w:p>
        </w:tc>
        <w:tc>
          <w:tcPr>
            <w:tcW w:w="7000" w:type="dxa"/>
            <w:vAlign w:val="top"/>
            <w:noWrap/>
          </w:tcPr>
          <w:p>
            <w:pPr>
              <w:jc w:val="both"/>
              <w:spacing w:after="0"/>
            </w:pPr>
            <w:r>
              <w:rPr>
                <w:sz w:val="24"/>
                <w:szCs w:val="24"/>
              </w:rPr>
              <w:t xml:space="preserve">Информация отправлена во все образовательные учреждения области.
</w:t>
            </w:r>
          </w:p>
          <w:p>
            <w:pPr>
              <w:jc w:val="both"/>
              <w:spacing w:after="0"/>
            </w:pPr>
            <w:r>
              <w:rPr>
                <w:sz w:val="24"/>
                <w:szCs w:val="24"/>
              </w:rPr>
              <w:t xml:space="preserve">
</w:t>
            </w:r>
          </w:p>
          <w:p>
            <w:pPr>
              <w:jc w:val="both"/>
              <w:spacing w:after="0"/>
            </w:pPr>
            <w:r>
              <w:rPr>
                <w:sz w:val="24"/>
                <w:szCs w:val="24"/>
              </w:rPr>
              <w:t xml:space="preserve">Выявление проблем и противоречий деятельности педагогов по формированию функциональной грамотности.
</w:t>
            </w:r>
          </w:p>
          <w:p>
            <w:pPr>
              <w:jc w:val="both"/>
              <w:spacing w:after="0"/>
            </w:pPr>
            <w:r>
              <w:rPr>
                <w:sz w:val="24"/>
                <w:szCs w:val="24"/>
              </w:rPr>
              <w:t xml:space="preserve">
</w:t>
            </w:r>
          </w:p>
          <w:p>
            <w:pPr>
              <w:jc w:val="both"/>
              <w:spacing w:after="0"/>
            </w:pPr>
            <w:r>
              <w:rPr>
                <w:sz w:val="24"/>
                <w:szCs w:val="24"/>
              </w:rPr>
              <w:t xml:space="preserve">
</w:t>
            </w:r>
          </w:p>
          <w:p>
            <w:pPr>
              <w:jc w:val="both"/>
              <w:spacing w:after="0"/>
            </w:pPr>
            <w:r>
              <w:rPr>
                <w:sz w:val="24"/>
                <w:szCs w:val="24"/>
              </w:rPr>
              <w:t xml:space="preserve">
</w:t>
            </w:r>
          </w:p>
          <w:p>
            <w:pPr>
              <w:jc w:val="both"/>
              <w:spacing w:after="0"/>
            </w:pPr>
            <w:r>
              <w:rPr>
                <w:sz w:val="24"/>
                <w:szCs w:val="24"/>
              </w:rPr>
              <w:t xml:space="preserve">
</w:t>
            </w:r>
          </w:p>
          <w:p>
            <w:pPr>
              <w:jc w:val="both"/>
              <w:spacing w:after="0"/>
            </w:pPr>
            <w:r>
              <w:rPr>
                <w:sz w:val="24"/>
                <w:szCs w:val="24"/>
              </w:rPr>
              <w:t xml:space="preserve">
</w:t>
            </w:r>
          </w:p>
          <w:p>
            <w:pPr>
              <w:jc w:val="both"/>
              <w:spacing w:after="0"/>
            </w:pPr>
            <w:r>
              <w:rPr>
                <w:sz w:val="24"/>
                <w:szCs w:val="24"/>
              </w:rPr>
              <w:t xml:space="preserve">
</w:t>
            </w:r>
          </w:p>
          <w:p>
            <w:pPr>
              <w:jc w:val="both"/>
              <w:spacing w:after="0"/>
            </w:pPr>
            <w:r>
              <w:rPr>
                <w:sz w:val="24"/>
                <w:szCs w:val="24"/>
              </w:rPr>
              <w:t xml:space="preserve">Определение путей и форм работы по формированию функциональной грамотности педагогов.
</w:t>
            </w:r>
          </w:p>
          <w:p>
            <w:pPr>
              <w:jc w:val="both"/>
              <w:spacing w:after="0"/>
            </w:pPr>
            <w:r>
              <w:rPr>
                <w:sz w:val="24"/>
                <w:szCs w:val="24"/>
              </w:rPr>
              <w:t xml:space="preserve">
</w:t>
            </w:r>
          </w:p>
          <w:p>
            <w:pPr>
              <w:jc w:val="both"/>
              <w:spacing w:after="0"/>
            </w:pPr>
            <w:r>
              <w:rPr>
                <w:sz w:val="24"/>
                <w:szCs w:val="24"/>
              </w:rPr>
              <w:t xml:space="preserve">Разработка и освоение методологической основы проекта.
</w:t>
            </w:r>
          </w:p>
          <w:p>
            <w:pPr>
              <w:jc w:val="both"/>
              <w:spacing w:after="0"/>
            </w:pPr>
            <w:r>
              <w:rPr>
                <w:sz w:val="24"/>
                <w:szCs w:val="24"/>
              </w:rPr>
              <w:t xml:space="preserve">
</w:t>
            </w:r>
          </w:p>
          <w:p>
            <w:pPr>
              <w:jc w:val="both"/>
              <w:spacing w:after="0"/>
            </w:pPr>
            <w:r>
              <w:rPr>
                <w:sz w:val="24"/>
                <w:szCs w:val="24"/>
              </w:rPr>
              <w:t xml:space="preserve">Выявление уровней сформированнности функциональной грамотности.
</w:t>
            </w:r>
          </w:p>
          <w:p>
            <w:pPr>
              <w:jc w:val="both"/>
              <w:spacing w:after="0"/>
            </w:pPr>
            <w:r>
              <w:rPr>
                <w:sz w:val="24"/>
                <w:szCs w:val="24"/>
              </w:rPr>
              <w:t xml:space="preserve">
</w:t>
            </w:r>
          </w:p>
          <w:p>
            <w:pPr>
              <w:jc w:val="both"/>
              <w:spacing w:after="0"/>
            </w:pPr>
            <w:r>
              <w:rPr>
                <w:sz w:val="24"/>
                <w:szCs w:val="24"/>
              </w:rPr>
              <w:t xml:space="preserve">Обобщение изученных данных, ознакомление с программами.</w:t>
            </w:r>
          </w:p>
        </w:tc>
      </w:tr>
      <w:tr>
        <w:trPr/>
        <w:tc>
          <w:tcPr>
            <w:tcW w:w="3000" w:type="dxa"/>
            <w:vAlign w:val="top"/>
            <w:shd w:val="clear" w:fill="CD5C5C"/>
            <w:noWrap/>
          </w:tcPr>
          <w:p>
            <w:pPr/>
            <w:r>
              <w:rPr/>
              <w:t xml:space="preserve">Подробное описание степени достижения результата (конечная продукция)</w:t>
            </w:r>
          </w:p>
        </w:tc>
        <w:tc>
          <w:tcPr>
            <w:tcW w:w="7000" w:type="dxa"/>
            <w:vAlign w:val="top"/>
            <w:noWrap/>
          </w:tcPr>
          <w:p>
            <w:pPr>
              <w:jc w:val="both"/>
              <w:spacing w:after="0"/>
            </w:pPr>
            <w:r>
              <w:rPr>
                <w:sz w:val="24"/>
                <w:szCs w:val="24"/>
              </w:rPr>
              <w:t xml:space="preserve">Реализация проекта по срокам сдвинута, так как распоряжение о присвоении статуса площадки пришло в марте 2024. 
</w:t>
            </w:r>
          </w:p>
          <w:p>
            <w:pPr>
              <w:jc w:val="both"/>
              <w:spacing w:after="0"/>
            </w:pPr>
            <w:r>
              <w:rPr>
                <w:sz w:val="24"/>
                <w:szCs w:val="24"/>
              </w:rPr>
              <w:t xml:space="preserve">Информированность педагогического сообщества о данном проекте  через сайт https://fd29.ru. Письмо отправлено в Комитет Котласа с планом мероприятий, которые будут организованы для педагогов города и района. 
</w:t>
            </w:r>
          </w:p>
          <w:p>
            <w:pPr>
              <w:jc w:val="both"/>
              <w:spacing w:after="0"/>
            </w:pPr>
            <w:r>
              <w:rPr>
                <w:sz w:val="24"/>
                <w:szCs w:val="24"/>
              </w:rPr>
              <w:t xml:space="preserve">Изучена и проанализирована литература, а также статьи в сети Интернет о проблеме функциональной грамотности педагогов. Определены формы работы по формированию функциональной грамотности педагогов 
</w:t>
            </w:r>
          </w:p>
          <w:p>
            <w:pPr>
              <w:jc w:val="both"/>
              <w:spacing w:after="0"/>
            </w:pPr>
            <w:r>
              <w:rPr>
                <w:sz w:val="24"/>
                <w:szCs w:val="24"/>
              </w:rPr>
              <w:t xml:space="preserve">(- https://www.dissercat.com/content/razvitie-professionalnoi-kompetentnosti-uchitelya-po-formirovaniyu-funktsionalnoi-gramotnost 
</w:t>
            </w:r>
          </w:p>
          <w:p>
            <w:pPr>
              <w:jc w:val="both"/>
              <w:spacing w:after="0"/>
            </w:pPr>
            <w:r>
              <w:rPr>
                <w:sz w:val="24"/>
                <w:szCs w:val="24"/>
              </w:rPr>
              <w:t xml:space="preserve">- https://rcpohv.minobr63.ru/wp-content/uploads/2021/12/%D0%98%D1%81%D1%81%D0%BB%D0%B5%D0%B4%D0%BE%D0%B2%D0%B0%D0%BD%D0%B8%D0%B5-%D0%BF%D1%80%D0%BE%D1%84%D0%B5%D1%81%D1%81%D0%B8%D0%BE%D0%BD%D0%B0%D0%BB%D1%8C%D0%BD%D1%8B%D1%85-%D0%B7%D0%B0%D1%82%D1%80%D1%83%D0%B4%D0%BD%D0%B5%D0%BD%D0%B8%D0%B9-%D0%BF%D0%B5%D0%B4%D0%B0%D0%B3%D0%BE%D0%B3%D0%BE%D0%B2.pdf 
</w:t>
            </w:r>
          </w:p>
          <w:p>
            <w:pPr>
              <w:jc w:val="both"/>
              <w:spacing w:after="0"/>
            </w:pPr>
            <w:r>
              <w:rPr>
                <w:sz w:val="24"/>
                <w:szCs w:val="24"/>
              </w:rPr>
              <w:t xml:space="preserve">- https://docs.yandex.ru/docs/view?tm=1739185071"tld=ru"lang=ru"name=Analiticheskaya_spravka_diagnostiki_FG_uchiteley_MOU_SOSh_3.docx"text=%D0%92%D1%8B%D1%8F%D0%B2%D0%BB%D0%B5%D0%BD%D0%B8%D0%B5%20%D0%BF%D1%80%D0%BE%D0%B1%D0%BB%D0%B5%D0%BC%20%D0%B8%20%D0%BF%D1%80%D0%BE%D1%82%D0%B8%D0%B2%D0%BE%D1%80%D0%B5%D1%87%D0%B8%D0%B9%20%D0%B4%D0%B5%D1%8F%D1%82%D0%B5%D0%BB%D1%8C%D0%BD%D0%BE%D1%81%D1%82%D0%B8%20%D0%BF%D0%B5%D0%B4%D0%B0%D0%B3%D0%BE%D0%B3%D0%BE%D0%B2%20%D0%BF%D0%BE%20%D1%84%D0%BE%D1%80%D0%BC%D0%B8%D1%80%D0%BE%D0%B2%D0%B0%D0%BD%D0%B8%D1%8E%20%D1%84%D1%83%D0%BD%D0%BA%D1%86%D0%B8%D0%BE%D0%BD%D0%B0%D0%BB%D1%8C%D0%BD%D0%BE%D0%B9%20%D0%B3%D1%80%D0%B0%D0%BC%D0%BE%D1%82%D0%BD%D0%BE%D1%81%D1%82%D0%B8."url=https%3A%2F%2Fshkola3marks.gosuslugi.ru%2Fnetcat_files%2F179%2F2941%2FAnaliticheskaya_spravka_diagnostiki_FG_uchiteley_MOU_SOSh_3.docx"lr=10846"mime=docx"l10n=ru"sign=27d6e75a3b5de6365c31c0caf5bd6e8e"keyno=0"nosw=1"serpParams=tm%3D1739185071%26tld%3Dru%26lang%3Dru%26name%3DAnaliticheskaya_spravka_diagnostiki_FG_uchiteley_MOU_SOSh_3.docx%26text%3D%25D0%2592%25D1%258B%25D1%258F%25D0%25B2%25D0%25BB%25D0%25B5%25D0%25BD%25D0%25B8%25D0%25B5%2B%25D0%25BF%25D1%2580%25D0%25BE%25D0%25B1%25D0%25BB%25D0%25B5%25D0%25BC%2B%25D0%25B8%2B%25D0%25BF%25D1%2580%25D0%25BE%25D1%2582%25D0%25B8%25D0%25B2%25D0%25BE%25D1%2580%25D0%25B5%25D1%2587%25D0%25B8%25D0%25B9%2B%25D0%25B4%25D0%25B5%25D1%258F%25D1%2582%25D0%25B5%25D0%25BB%25D1%258C%25D0%25BD%25D0%25BE%25D1%2581%25D1%2582%25D0%25B8%2B%25D0%25BF%25D0%25B5%25D0%25B4%25D0%25B0%25D0%25B3%25D0%25BE%25D0%25B3%25D0%25BE%25D0%25B2%2B%25D0%25BF%25D0%25BE%2B%25D1%2584%25D0%25BE%25D1%2580%25D0%25BC%25D0%25B8%25D1%2580%25D0%25BE%25D0%25B2%25D0%25B0%25D0%25BD%25D0%25B8%25D1%258E%2B%25D1%2584%25D1%2583%25D0%25BD%25D0%25BA%25D1%2586%25D0%25B8%25D0%25BE%25D0%25BD%25D0%25B0%25D0%25BB%25D1%258C%25D0%25BD%25D0%25BE%25D0%25B9%2B%25D0%25B3%25D1%2580%25D0%25B0%25D0%25BC%25D0%25BE%25D1%2582%25D0%25BD%25D0%25BE%25D1%2581%25D1%2582%25D0%25B8.%26url%3Dhttps%253A%2F%2Fshkola3marks.gosuslugi.ru%2Fnetcat_files%2F179%2F2941%2FAnaliticheskaya_spravka_diagnostiki_FG_uchiteley_MOU_SOSh_3.docx%26lr%3D10846%26mime%3Ddocx%26l10n%3Dru%26sign%3D27d6e75a3b5de6365c31c0caf5bd6e8e%26keyno%3D0%26nosw%3D1 
</w:t>
            </w:r>
          </w:p>
          <w:p>
            <w:pPr>
              <w:jc w:val="both"/>
              <w:spacing w:after="0"/>
            </w:pPr>
            <w:r>
              <w:rPr>
                <w:sz w:val="24"/>
                <w:szCs w:val="24"/>
              </w:rPr>
              <w:t xml:space="preserve">- https://xn--j1ahfl.xn--p1ai/library/pedagogicheskij_proekt_innovatcionnie_obrazovateln_234904.html
</w:t>
            </w:r>
          </w:p>
          <w:p>
            <w:pPr>
              <w:jc w:val="both"/>
              <w:spacing w:after="0"/>
            </w:pPr>
            <w:r>
              <w:rPr>
                <w:sz w:val="24"/>
                <w:szCs w:val="24"/>
              </w:rPr>
              <w:t xml:space="preserve">- https://www.https://xn--j1ahfl.xn--p1ai/library/pedagogicheskij_proekt_innovatcionnie_obrazovateln_234904.html1urok.ru/categories/10/articles/44874
</w:t>
            </w:r>
          </w:p>
          <w:p>
            <w:pPr>
              <w:jc w:val="both"/>
              <w:spacing w:after="0"/>
            </w:pPr>
            <w:r>
              <w:rPr>
                <w:sz w:val="24"/>
                <w:szCs w:val="24"/>
              </w:rPr>
              <w:t xml:space="preserve">- https://urok.1sept.ru/articles/687569 и т.д.
</w:t>
            </w:r>
          </w:p>
          <w:p>
            <w:pPr>
              <w:jc w:val="both"/>
              <w:spacing w:after="0"/>
            </w:pPr>
            <w:r>
              <w:rPr>
                <w:sz w:val="24"/>
                <w:szCs w:val="24"/>
              </w:rPr>
              <w:t xml:space="preserve">На сайте зарегистрированы 63 пользователя, которые выявили свой уровень функциональной грамотности (данные могут видеть только пользователи в своих личных кабинетах). Использованы опросники по диагностике профиля мышления и уровня креативности (Психологические портреты персонала: типология и диагностика/Под ред. Ю.П. Платонова. Учеб. пособие.-СПб.: Речь, 2003.-416с.), а также опросники с сети Интернет:
</w:t>
            </w:r>
          </w:p>
          <w:p>
            <w:pPr>
              <w:jc w:val="both"/>
              <w:spacing w:after="0"/>
            </w:pPr>
            <w:r>
              <w:rPr>
                <w:sz w:val="24"/>
                <w:szCs w:val="24"/>
              </w:rPr>
              <w:t xml:space="preserve">Тест "Диагностика предметного мышления" (Пройден)
</w:t>
            </w:r>
          </w:p>
          <w:p>
            <w:pPr>
              <w:jc w:val="both"/>
              <w:spacing w:after="0"/>
            </w:pPr>
            <w:r>
              <w:rPr>
                <w:sz w:val="24"/>
                <w:szCs w:val="24"/>
              </w:rPr>
              <w:t xml:space="preserve">Тест "Диагностика символического мышления" (Пройден)
</w:t>
            </w:r>
          </w:p>
          <w:p>
            <w:pPr>
              <w:jc w:val="both"/>
              <w:spacing w:after="0"/>
            </w:pPr>
            <w:r>
              <w:rPr>
                <w:sz w:val="24"/>
                <w:szCs w:val="24"/>
              </w:rPr>
              <w:t xml:space="preserve">Тест "Диагностика знакового мышления"
</w:t>
            </w:r>
          </w:p>
          <w:p>
            <w:pPr>
              <w:jc w:val="both"/>
              <w:spacing w:after="0"/>
            </w:pPr>
            <w:r>
              <w:rPr>
                <w:sz w:val="24"/>
                <w:szCs w:val="24"/>
              </w:rPr>
              <w:t xml:space="preserve">Тест "Диагностика образного мышления"
</w:t>
            </w:r>
          </w:p>
          <w:p>
            <w:pPr>
              <w:jc w:val="both"/>
              <w:spacing w:after="0"/>
            </w:pPr>
            <w:r>
              <w:rPr>
                <w:sz w:val="24"/>
                <w:szCs w:val="24"/>
              </w:rPr>
              <w:t xml:space="preserve">Тест "Диагностика креативности" (Пройден)
</w:t>
            </w:r>
          </w:p>
          <w:p>
            <w:pPr>
              <w:jc w:val="both"/>
              <w:spacing w:after="0"/>
            </w:pPr>
            <w:r>
              <w:rPr>
                <w:sz w:val="24"/>
                <w:szCs w:val="24"/>
              </w:rPr>
              <w:t xml:space="preserve">Тест "Мотивационная готовность педагогического коллектива к инновационной деятельности"
</w:t>
            </w:r>
          </w:p>
          <w:p>
            <w:pPr>
              <w:jc w:val="both"/>
              <w:spacing w:after="0"/>
            </w:pPr>
            <w:r>
              <w:rPr>
                <w:sz w:val="24"/>
                <w:szCs w:val="24"/>
              </w:rPr>
              <w:t xml:space="preserve">Тест "Барьеры, препятствующие освоению инновационных технологий"
</w:t>
            </w:r>
          </w:p>
          <w:p>
            <w:pPr>
              <w:jc w:val="both"/>
              <w:spacing w:after="0"/>
            </w:pPr>
            <w:r>
              <w:rPr>
                <w:sz w:val="24"/>
                <w:szCs w:val="24"/>
              </w:rPr>
              <w:t xml:space="preserve">Обобщили информацию по данному этапу, которая будет расположена в разделе "Новости" сайта fd29.ru 
</w:t>
            </w:r>
          </w:p>
          <w:p>
            <w:pPr>
              <w:jc w:val="both"/>
              <w:spacing w:after="0"/>
            </w:pPr>
            <w:r>
              <w:rPr>
                <w:sz w:val="24"/>
                <w:szCs w:val="24"/>
              </w:rPr>
              <w:t xml:space="preserve"> Планируем расширить информацию о проекте не только в области, но и по всем образовательным учреждениям ОАО "РЖД".
</w:t>
            </w:r>
          </w:p>
          <w:p>
            <w:pPr>
              <w:jc w:val="both"/>
              <w:spacing w:after="0"/>
            </w:pPr>
            <w:r>
              <w:rPr>
                <w:sz w:val="24"/>
                <w:szCs w:val="24"/>
              </w:rPr>
              <w:t xml:space="preserve">На начало февраля 2026 года на сайте fd29.ru зарегистрировано 67 пользователей.</w:t>
            </w:r>
          </w:p>
        </w:tc>
      </w:tr>
      <w:tr>
        <w:trPr/>
        <w:tc>
          <w:tcPr>
            <w:tcW w:w="3000" w:type="dxa"/>
            <w:vAlign w:val="top"/>
            <w:shd w:val="clear" w:fill="F5F5F5"/>
            <w:noWrap/>
          </w:tcPr>
          <w:p>
            <w:pPr/>
            <w:r>
              <w:rPr/>
              <w:t xml:space="preserve">Условия организации работ</w:t>
            </w:r>
          </w:p>
        </w:tc>
        <w:tc>
          <w:tcPr>
            <w:tcW w:w="7000" w:type="dxa"/>
            <w:vAlign w:val="top"/>
            <w:noWrap/>
          </w:tcPr>
          <w:p>
            <w:pPr>
              <w:jc w:val="both"/>
            </w:pPr>
            <w:r>
              <w:rPr>
                <w:sz w:val="24"/>
                <w:szCs w:val="24"/>
              </w:rPr>
              <w:t xml:space="preserve">Определены ответственные, целевая аудитория и материально-технические условия соответствуют заявленному.</w:t>
            </w:r>
          </w:p>
        </w:tc>
      </w:tr>
      <w:tr>
        <w:trPr/>
        <w:tc>
          <w:tcPr>
            <w:tcW w:w="3000" w:type="dxa"/>
            <w:vAlign w:val="top"/>
            <w:shd w:val="clear" w:fill="F5F5F5"/>
            <w:noWrap/>
          </w:tcPr>
          <w:p>
            <w:pPr/>
            <w:r>
              <w:rPr/>
              <w:t xml:space="preserve">Средства контроля</w:t>
            </w:r>
          </w:p>
        </w:tc>
        <w:tc>
          <w:tcPr>
            <w:tcW w:w="7000" w:type="dxa"/>
            <w:vAlign w:val="top"/>
            <w:noWrap/>
          </w:tcPr>
          <w:p>
            <w:pPr>
              <w:jc w:val="both"/>
            </w:pPr>
            <w:r>
              <w:rPr>
                <w:sz w:val="24"/>
                <w:szCs w:val="24"/>
              </w:rPr>
              <w:t xml:space="preserve">Исходный мониторинг по формированию функциональной грамотности педагогов, итоговый семинар по первому этапу.</w:t>
            </w:r>
          </w:p>
        </w:tc>
      </w:tr>
      <w:tr>
        <w:trPr/>
        <w:tc>
          <w:tcPr>
            <w:tcW w:w="3000" w:type="dxa"/>
            <w:vAlign w:val="top"/>
            <w:shd w:val="clear" w:fill="CD5C5C"/>
            <w:noWrap/>
          </w:tcPr>
          <w:p>
            <w:pPr/>
            <w:r>
              <w:rPr/>
              <w:t xml:space="preserve">Описание процесса контроля и обеспечения достоверности результатов</w:t>
            </w:r>
          </w:p>
        </w:tc>
        <w:tc>
          <w:tcPr>
            <w:tcW w:w="7000" w:type="dxa"/>
            <w:vAlign w:val="top"/>
            <w:noWrap/>
          </w:tcPr>
          <w:p>
            <w:pPr>
              <w:jc w:val="both"/>
            </w:pPr>
            <w:r>
              <w:rPr>
                <w:sz w:val="24"/>
                <w:szCs w:val="24"/>
              </w:rPr>
              <w:t xml:space="preserve">Контроль деятельности осуществляется путем обновления информации на сайте fd29.ru, анонсированием мероприятий и пост-релизом проведенных мероприятий, а также сроками проведения мероприятий в соответствии с календарным планом реализации проекта и созданием условий.</w:t>
            </w:r>
          </w:p>
        </w:tc>
      </w:tr>
      <w:tr>
        <w:trPr/>
        <w:tc>
          <w:tcPr>
            <w:tcW w:w="3000" w:type="dxa"/>
            <w:vAlign w:val="top"/>
            <w:shd w:val="clear" w:fill="F5F5F5"/>
            <w:noWrap/>
          </w:tcPr>
          <w:p>
            <w:pPr/>
            <w:r>
              <w:rPr/>
              <w:t xml:space="preserve">Перечень разработок по теме проекта</w:t>
            </w:r>
          </w:p>
        </w:tc>
        <w:tc>
          <w:tcPr>
            <w:tcW w:w="7000" w:type="dxa"/>
            <w:vAlign w:val="top"/>
            <w:noWrap/>
          </w:tcPr>
          <w:p>
            <w:pPr>
              <w:jc w:val="both"/>
            </w:pPr>
            <w:r>
              <w:rPr>
                <w:sz w:val="24"/>
                <w:szCs w:val="24"/>
              </w:rPr>
              <w:t xml:space="preserve">Педагогические статьи на тему «Функциональная грамотность»</w:t>
            </w:r>
          </w:p>
        </w:tc>
      </w:tr>
      <w:tr>
        <w:trPr/>
        <w:tc>
          <w:tcPr>
            <w:tcW w:w="3000" w:type="dxa"/>
            <w:vAlign w:val="top"/>
            <w:shd w:val="clear" w:fill="F5F5F5"/>
            <w:noWrap/>
          </w:tcPr>
          <w:p>
            <w:pPr/>
            <w:r>
              <w:rPr/>
              <w:t xml:space="preserve">Дополнительная информация</w:t>
            </w:r>
          </w:p>
        </w:tc>
        <w:tc>
          <w:tcPr>
            <w:tcW w:w="7000" w:type="dxa"/>
            <w:vAlign w:val="top"/>
            <w:noWrap/>
          </w:tcPr>
          <w:p>
            <w:pPr>
              <w:jc w:val="both"/>
            </w:pPr>
            <w:r>
              <w:rPr>
                <w:color w:val="696969"/>
                <w:sz w:val="24"/>
                <w:szCs w:val="24"/>
                <w:i w:val="1"/>
                <w:iCs w:val="1"/>
              </w:rPr>
              <w:t xml:space="preserve">Данных нет</w:t>
            </w:r>
          </w:p>
        </w:tc>
      </w:tr>
    </w:tbl>
    <w:p/>
    <w:p>
      <w:pPr>
        <w:jc w:val="left"/>
      </w:pPr>
      <w:r>
        <w:rPr>
          <w:sz w:val="28"/>
          <w:szCs w:val="28"/>
          <w:b w:val="1"/>
          <w:bCs w:val="1"/>
        </w:rPr>
        <w:t xml:space="preserve">Этап 2 - 20.04.2025</w:t>
      </w:r>
    </w:p>
    <w:tbl>
      <w:tblGrid>
        <w:gridCol w:w="3000" w:type="dxa"/>
        <w:gridCol w:w="7000" w:type="dxa"/>
      </w:tblGrid>
      <w:tblPr>
        <w:tblStyle w:val="regipTable"/>
      </w:tblPr>
      <w:tr>
        <w:trPr/>
        <w:tc>
          <w:tcPr>
            <w:tcW w:w="3000" w:type="dxa"/>
            <w:vAlign w:val="top"/>
            <w:shd w:val="clear" w:fill="F5F5F5"/>
            <w:noWrap/>
          </w:tcPr>
          <w:p>
            <w:pPr/>
            <w:r>
              <w:rPr/>
              <w:t xml:space="preserve">Срок реализации (от)</w:t>
            </w:r>
          </w:p>
        </w:tc>
        <w:tc>
          <w:tcPr>
            <w:tcW w:w="7000" w:type="dxa"/>
            <w:vAlign w:val="top"/>
            <w:noWrap/>
          </w:tcPr>
          <w:p>
            <w:pPr>
              <w:jc w:val="both"/>
            </w:pPr>
            <w:r>
              <w:rPr>
                <w:sz w:val="24"/>
                <w:szCs w:val="24"/>
              </w:rPr>
              <w:t xml:space="preserve">20.08.2024</w:t>
            </w:r>
          </w:p>
        </w:tc>
      </w:tr>
      <w:tr>
        <w:trPr/>
        <w:tc>
          <w:tcPr>
            <w:tcW w:w="3000" w:type="dxa"/>
            <w:vAlign w:val="top"/>
            <w:shd w:val="clear" w:fill="F5F5F5"/>
            <w:noWrap/>
          </w:tcPr>
          <w:p>
            <w:pPr/>
            <w:r>
              <w:rPr/>
              <w:t xml:space="preserve">Срок реализации (до)</w:t>
            </w:r>
          </w:p>
        </w:tc>
        <w:tc>
          <w:tcPr>
            <w:tcW w:w="7000" w:type="dxa"/>
            <w:vAlign w:val="top"/>
            <w:noWrap/>
          </w:tcPr>
          <w:p>
            <w:pPr>
              <w:jc w:val="both"/>
            </w:pPr>
            <w:r>
              <w:rPr>
                <w:sz w:val="24"/>
                <w:szCs w:val="24"/>
              </w:rPr>
              <w:t xml:space="preserve">20.04.2025</w:t>
            </w:r>
          </w:p>
        </w:tc>
      </w:tr>
      <w:tr>
        <w:trPr/>
        <w:tc>
          <w:tcPr>
            <w:tcW w:w="3000" w:type="dxa"/>
            <w:vAlign w:val="top"/>
            <w:shd w:val="clear" w:fill="F5F5F5"/>
            <w:noWrap/>
          </w:tcPr>
          <w:p>
            <w:pPr/>
            <w:r>
              <w:rPr/>
              <w:t xml:space="preserve">Содержание и методы деятельности</w:t>
            </w:r>
          </w:p>
        </w:tc>
        <w:tc>
          <w:tcPr>
            <w:tcW w:w="7000" w:type="dxa"/>
            <w:vAlign w:val="top"/>
            <w:noWrap/>
          </w:tcPr>
          <w:p>
            <w:pPr>
              <w:jc w:val="both"/>
              <w:spacing w:after="0"/>
            </w:pPr>
            <w:r>
              <w:rPr>
                <w:sz w:val="24"/>
                <w:szCs w:val="24"/>
              </w:rPr>
              <w:t xml:space="preserve">1.	Разработка программно – методического обеспечения, направленного на формирование функциональной грамотности.
</w:t>
            </w:r>
          </w:p>
          <w:p>
            <w:pPr>
              <w:jc w:val="both"/>
              <w:spacing w:after="0"/>
            </w:pPr>
            <w:r>
              <w:rPr>
                <w:sz w:val="24"/>
                <w:szCs w:val="24"/>
              </w:rPr>
              <w:t xml:space="preserve">
</w:t>
            </w:r>
          </w:p>
          <w:p>
            <w:pPr>
              <w:jc w:val="both"/>
              <w:spacing w:after="0"/>
            </w:pPr>
            <w:r>
              <w:rPr>
                <w:sz w:val="24"/>
                <w:szCs w:val="24"/>
              </w:rPr>
              <w:t xml:space="preserve">1.	Составление   банка открытых заданий для оценки уровня функциональной грамотности, надпрофессиональных и профессиональных компетенций по типу «Флагманы образования».
</w:t>
            </w:r>
          </w:p>
          <w:p>
            <w:pPr>
              <w:jc w:val="both"/>
              <w:spacing w:after="0"/>
            </w:pPr>
            <w:r>
              <w:rPr>
                <w:sz w:val="24"/>
                <w:szCs w:val="24"/>
              </w:rPr>
              <w:t xml:space="preserve">2.	Итоговый семинар по данному этапу проекта в режиме онлайн.+ обратная связь.
</w:t>
            </w:r>
          </w:p>
          <w:p>
            <w:pPr>
              <w:jc w:val="both"/>
              <w:spacing w:after="0"/>
            </w:pPr>
            <w:r>
              <w:rPr>
                <w:sz w:val="24"/>
                <w:szCs w:val="24"/>
              </w:rPr>
              <w:t xml:space="preserve">Методы:
</w:t>
            </w:r>
          </w:p>
          <w:p>
            <w:pPr>
              <w:jc w:val="both"/>
              <w:spacing w:after="0"/>
            </w:pPr>
            <w:r>
              <w:rPr>
                <w:sz w:val="24"/>
                <w:szCs w:val="24"/>
              </w:rPr>
              <w:t xml:space="preserve">Отбор, анализ, тестовые работы.
</w:t>
            </w:r>
          </w:p>
          <w:p>
            <w:pPr>
              <w:jc w:val="both"/>
              <w:spacing w:after="0"/>
            </w:pPr>
            <w:r>
              <w:rPr>
                <w:sz w:val="24"/>
                <w:szCs w:val="24"/>
              </w:rPr>
              <w:t xml:space="preserve">
</w:t>
            </w:r>
          </w:p>
          <w:p>
            <w:pPr>
              <w:jc w:val="both"/>
              <w:spacing w:after="0"/>
            </w:pPr>
            <w:r>
              <w:rPr>
                <w:sz w:val="24"/>
                <w:szCs w:val="24"/>
              </w:rPr>
              <w:t xml:space="preserve">Семинар, круглый стол,  в режиме онлайн</w:t>
            </w:r>
          </w:p>
        </w:tc>
      </w:tr>
      <w:tr>
        <w:trPr/>
        <w:tc>
          <w:tcPr>
            <w:tcW w:w="3000" w:type="dxa"/>
            <w:vAlign w:val="top"/>
            <w:shd w:val="clear" w:fill="F5F5F5"/>
            <w:noWrap/>
          </w:tcPr>
          <w:p>
            <w:pPr/>
            <w:r>
              <w:rPr/>
              <w:t xml:space="preserve">Прогнозируемые результаты (перечень конечной продукции)</w:t>
            </w:r>
          </w:p>
        </w:tc>
        <w:tc>
          <w:tcPr>
            <w:tcW w:w="7000" w:type="dxa"/>
            <w:vAlign w:val="top"/>
            <w:noWrap/>
          </w:tcPr>
          <w:p>
            <w:pPr>
              <w:jc w:val="both"/>
              <w:spacing w:after="0"/>
            </w:pPr>
            <w:r>
              <w:rPr>
                <w:sz w:val="24"/>
                <w:szCs w:val="24"/>
              </w:rPr>
              <w:t xml:space="preserve">Подготовка организационных и технологических подходов, направленных на формирование функциональной грамотности.
</w:t>
            </w:r>
          </w:p>
          <w:p>
            <w:pPr>
              <w:jc w:val="both"/>
              <w:spacing w:after="0"/>
            </w:pPr>
            <w:r>
              <w:rPr>
                <w:sz w:val="24"/>
                <w:szCs w:val="24"/>
              </w:rPr>
              <w:t xml:space="preserve">Наполнение банка заданий для прохождения педагогами.
</w:t>
            </w:r>
          </w:p>
          <w:p>
            <w:pPr>
              <w:jc w:val="both"/>
              <w:spacing w:after="0"/>
            </w:pPr>
            <w:r>
              <w:rPr>
                <w:sz w:val="24"/>
                <w:szCs w:val="24"/>
              </w:rPr>
              <w:t xml:space="preserve">Обобщение информации по данному этапу.</w:t>
            </w:r>
          </w:p>
        </w:tc>
      </w:tr>
      <w:tr>
        <w:trPr/>
        <w:tc>
          <w:tcPr>
            <w:tcW w:w="3000" w:type="dxa"/>
            <w:vAlign w:val="top"/>
            <w:shd w:val="clear" w:fill="CD5C5C"/>
            <w:noWrap/>
          </w:tcPr>
          <w:p>
            <w:pPr/>
            <w:r>
              <w:rPr/>
              <w:t xml:space="preserve">Подробное описание степени достижения результата (конечная продукция)</w:t>
            </w:r>
          </w:p>
        </w:tc>
        <w:tc>
          <w:tcPr>
            <w:tcW w:w="7000" w:type="dxa"/>
            <w:vAlign w:val="top"/>
            <w:noWrap/>
          </w:tcPr>
          <w:p>
            <w:pPr>
              <w:jc w:val="both"/>
              <w:spacing w:after="0"/>
            </w:pPr>
            <w:r>
              <w:rPr>
                <w:sz w:val="24"/>
                <w:szCs w:val="24"/>
              </w:rPr>
              <w:t xml:space="preserve">В ходе этого этапа корректировался сайт. 
</w:t>
            </w:r>
          </w:p>
          <w:p>
            <w:pPr>
              <w:jc w:val="both"/>
              <w:spacing w:after="0"/>
            </w:pPr>
            <w:r>
              <w:rPr>
                <w:sz w:val="24"/>
                <w:szCs w:val="24"/>
              </w:rPr>
              <w:t xml:space="preserve">Проведен мастер-класс функциональной грамотности по направлению "Компьютерная грамотность" для педагогов РЖД лицея №1.   В рамках мастер-класса учителя осваивали новые приёмы для скоростного оформления документов, таких как исследовательские и проектные работы. Для многих возможность ускорить свою повседневную работу стала настоящим открытием, благодаря чему мастер-класс прошёл в позитивной атмосфере.
</w:t>
            </w:r>
          </w:p>
          <w:p>
            <w:pPr>
              <w:jc w:val="both"/>
              <w:spacing w:after="0"/>
            </w:pPr>
            <w:r>
              <w:rPr>
                <w:sz w:val="24"/>
                <w:szCs w:val="24"/>
              </w:rPr>
              <w:t xml:space="preserve"> На сайте выложена информация для других педагогов. В январе проведен Баттл по функциональной грамотности среди педагогов школ города. В мероприятии приняли участие 8 школ города по 4 человека. В ходе мероприятия командам нужно было решить кейсы различной направленности(читательская грамотность, математическая, финансовая), в том числе командам нужно было приготовить домашнее задание в жанре стендапа "Будни учителя" (этот этап показал креатив команд). Каждый член  команды получил свой пакет сувенирной продукции, а команды - победители получили грамоты. https://vk.com/sevmag76?w=wall-188532911_4295.
</w:t>
            </w:r>
          </w:p>
          <w:p>
            <w:pPr>
              <w:jc w:val="both"/>
              <w:spacing w:after="0"/>
            </w:pPr>
            <w:r>
              <w:rPr>
                <w:sz w:val="24"/>
                <w:szCs w:val="24"/>
              </w:rPr>
              <w:t xml:space="preserve"> Планируется провести семинар в марте по компьютерной грамотности для педагогов в режиме онлайн с записью.
</w:t>
            </w:r>
          </w:p>
          <w:p>
            <w:pPr>
              <w:jc w:val="both"/>
              <w:spacing w:after="0"/>
            </w:pPr>
            <w:r>
              <w:rPr>
                <w:sz w:val="24"/>
                <w:szCs w:val="24"/>
              </w:rPr>
              <w:t xml:space="preserve"> 14 марта планируем провести конкурс чтецов среди педагогов города (тема выступлений ВОв), иногородние педагоги смогут прислать свои выступления в дистанционном режиме. Запись конкурса в целях открытости сможем опубликовать на сайте. Продолжаем наполнение банка заданий. Мини-курс по направлению финансовой грамотности планируем организовать в середине мая (15). Запись также будет доступна на сайте. 30 мая проведем итоговый семинар в режиме онлайн, где подведем итоги накопительного этапа.
</w:t>
            </w:r>
          </w:p>
          <w:p>
            <w:pPr>
              <w:jc w:val="both"/>
              <w:spacing w:after="0"/>
            </w:pPr>
            <w:r>
              <w:rPr>
                <w:sz w:val="24"/>
                <w:szCs w:val="24"/>
              </w:rPr>
              <w:t xml:space="preserve"> 14 марта 2025 года в РЖД лицее №1 прошел конкурс чтецов для педагогов "Сила слова". В мероприятии приняли участие 24 педагога Архангельской области. Конкурс был посвящен Великой Отечественной войне и проводился в рамках плана мероприятий региональной инновационной площадки "Функциональная грамотность". 
</w:t>
            </w:r>
          </w:p>
          <w:p>
            <w:pPr>
              <w:jc w:val="both"/>
              <w:spacing w:after="0"/>
            </w:pPr>
            <w:r>
              <w:rPr>
                <w:sz w:val="24"/>
                <w:szCs w:val="24"/>
              </w:rPr>
              <w:t xml:space="preserve">16  мая в РЖД лицее 1 прошел последний в этом учебном году семинар в рамках плана мероприятий региональной инновационной площадки "Функциональные грамотность педагогов" по финансовой грамотности.
</w:t>
            </w:r>
          </w:p>
          <w:p>
            <w:pPr>
              <w:jc w:val="both"/>
              <w:spacing w:after="0"/>
            </w:pPr>
            <w:r>
              <w:rPr>
                <w:sz w:val="24"/>
                <w:szCs w:val="24"/>
              </w:rPr>
              <w:t xml:space="preserve">
</w:t>
            </w:r>
          </w:p>
          <w:p>
            <w:pPr>
              <w:jc w:val="both"/>
              <w:spacing w:after="0"/>
            </w:pPr>
            <w:r>
              <w:rPr>
                <w:sz w:val="24"/>
                <w:szCs w:val="24"/>
              </w:rPr>
              <w:t xml:space="preserve">Спикерами выступили:
</w:t>
            </w:r>
          </w:p>
          <w:p>
            <w:pPr>
              <w:jc w:val="both"/>
              <w:spacing w:after="0"/>
            </w:pPr>
            <w:r>
              <w:rPr>
                <w:sz w:val="24"/>
                <w:szCs w:val="24"/>
              </w:rPr>
              <w:t xml:space="preserve">Учитель истории и обществознания МОУ "СОШ 76" города Котласа Замятина Ксения Владиславовна с темой «Ресурсы, используемые для формирования финансовой грамотности у обучающихся при изучении курса обществознания, в том числе у детей с ОВЗ»
</w:t>
            </w:r>
          </w:p>
          <w:p>
            <w:pPr>
              <w:jc w:val="both"/>
              <w:spacing w:after="0"/>
            </w:pPr>
            <w:r>
              <w:rPr>
                <w:sz w:val="24"/>
                <w:szCs w:val="24"/>
              </w:rPr>
              <w:t xml:space="preserve">Учитель истории и обществознания МОУ "СОШ 18" Пономарева Тамара Валентиновна с темой "Финансовая грамотность старшеклассника: опыт управления брокерским счётом" и социальный педагог РЖД лицея 1 Желещикова Галина Михайловна с темой " Финансовый компас: практическое руководство для педагогов".
</w:t>
            </w:r>
          </w:p>
          <w:p>
            <w:pPr>
              <w:jc w:val="both"/>
              <w:spacing w:after="0"/>
            </w:pPr>
            <w:r>
              <w:rPr>
                <w:sz w:val="24"/>
                <w:szCs w:val="24"/>
              </w:rPr>
              <w:t xml:space="preserve">30 января 2026 года в РЖД лицее №1 прошел очередной конкурс чтецов для педагогов «Сила слова». В нем приняли участие преподаватели школ из Котласа и Екатеринбурга.
</w:t>
            </w:r>
          </w:p>
          <w:p>
            <w:pPr>
              <w:jc w:val="both"/>
              <w:spacing w:after="0"/>
            </w:pPr>
            <w:r>
              <w:rPr>
                <w:sz w:val="24"/>
                <w:szCs w:val="24"/>
              </w:rPr>
              <w:t xml:space="preserve">
</w:t>
            </w:r>
          </w:p>
          <w:p>
            <w:pPr>
              <w:jc w:val="both"/>
              <w:spacing w:after="0"/>
            </w:pPr>
            <w:r>
              <w:rPr>
                <w:sz w:val="24"/>
                <w:szCs w:val="24"/>
              </w:rPr>
              <w:t xml:space="preserve">Мероприятие было направлено на содействие развитию творческого потенциала педагогов, повышение их речевой культуры и мастерства художественного слова.
</w:t>
            </w:r>
          </w:p>
          <w:p>
            <w:pPr>
              <w:jc w:val="both"/>
              <w:spacing w:after="0"/>
            </w:pPr>
            <w:r>
              <w:rPr>
                <w:sz w:val="24"/>
                <w:szCs w:val="24"/>
              </w:rPr>
              <w:t xml:space="preserve">
</w:t>
            </w:r>
          </w:p>
          <w:p>
            <w:pPr>
              <w:jc w:val="both"/>
              <w:spacing w:after="0"/>
            </w:pPr>
            <w:r>
              <w:rPr>
                <w:sz w:val="24"/>
                <w:szCs w:val="24"/>
              </w:rPr>
              <w:t xml:space="preserve">Звучали стихи Эдуарда Асадова, Вероники Тушновой, Марины Цветаевой, Роберта Рождественского, Редьярда Киплинга и других поэтов. Учитель начальных классов РЖД лицея №1 Елена Липатова прочла авторские стихи «Ещё раз про любовь».
</w:t>
            </w:r>
          </w:p>
          <w:p>
            <w:pPr>
              <w:jc w:val="both"/>
              <w:spacing w:after="0"/>
            </w:pPr>
            <w:r>
              <w:rPr>
                <w:sz w:val="24"/>
                <w:szCs w:val="24"/>
              </w:rPr>
              <w:t xml:space="preserve">
</w:t>
            </w:r>
          </w:p>
          <w:p>
            <w:pPr>
              <w:jc w:val="both"/>
              <w:spacing w:after="0"/>
            </w:pPr>
            <w:r>
              <w:rPr>
                <w:sz w:val="24"/>
                <w:szCs w:val="24"/>
              </w:rPr>
              <w:t xml:space="preserve">Победителем стала педагог Центра дополнительного образования города Котласа Елена Харитонова, прочитавшая стихотворение «Генерал Топтыгин» Николая Некрасова.
</w:t>
            </w:r>
          </w:p>
          <w:p>
            <w:pPr>
              <w:jc w:val="both"/>
              <w:spacing w:after="0"/>
            </w:pPr>
            <w:r>
              <w:rPr>
                <w:sz w:val="24"/>
                <w:szCs w:val="24"/>
              </w:rPr>
              <w:t xml:space="preserve">
</w:t>
            </w:r>
          </w:p>
          <w:p>
            <w:pPr>
              <w:jc w:val="both"/>
              <w:spacing w:after="0"/>
            </w:pPr>
            <w:r>
              <w:rPr>
                <w:sz w:val="24"/>
                <w:szCs w:val="24"/>
              </w:rPr>
              <w:t xml:space="preserve">Второе место получила Екатерина Малахова, учитель русского языка и литературы МОУ «СОШ № 4 им. Ю.А. Гагарина», прочитавшая отрывок из произведения Марины Цветаевой.
</w:t>
            </w:r>
          </w:p>
          <w:p>
            <w:pPr>
              <w:jc w:val="both"/>
              <w:spacing w:after="0"/>
            </w:pPr>
            <w:r>
              <w:rPr>
                <w:sz w:val="24"/>
                <w:szCs w:val="24"/>
              </w:rPr>
              <w:t xml:space="preserve">
</w:t>
            </w:r>
          </w:p>
          <w:p>
            <w:pPr>
              <w:jc w:val="both"/>
              <w:spacing w:after="0"/>
            </w:pPr>
            <w:r>
              <w:rPr>
                <w:sz w:val="24"/>
                <w:szCs w:val="24"/>
              </w:rPr>
              <w:t xml:space="preserve">Третье место разделили Татьяна Трифонова, педагог-библиотекарь РЖД-лицея №1, прочитавшая стихотворение Роберта Рождественского «Всё начинается с любви...» и Елена Липатова, учитель начальных классов РЖД лицея №1 с авторским стихотворением.</w:t>
            </w:r>
          </w:p>
        </w:tc>
      </w:tr>
      <w:tr>
        <w:trPr/>
        <w:tc>
          <w:tcPr>
            <w:tcW w:w="3000" w:type="dxa"/>
            <w:vAlign w:val="top"/>
            <w:shd w:val="clear" w:fill="F5F5F5"/>
            <w:noWrap/>
          </w:tcPr>
          <w:p>
            <w:pPr/>
            <w:r>
              <w:rPr/>
              <w:t xml:space="preserve">Условия организации работ</w:t>
            </w:r>
          </w:p>
        </w:tc>
        <w:tc>
          <w:tcPr>
            <w:tcW w:w="7000" w:type="dxa"/>
            <w:vAlign w:val="top"/>
            <w:noWrap/>
          </w:tcPr>
          <w:p>
            <w:pPr>
              <w:jc w:val="both"/>
            </w:pPr>
            <w:r>
              <w:rPr>
                <w:sz w:val="24"/>
                <w:szCs w:val="24"/>
              </w:rPr>
              <w:t xml:space="preserve">Организация на сайте лицея вкладки "Инновационная деятельность" с возможностью регистрации педагогов в личных кабинетах.  Определение ответственных лиц за составление банка открытых заданий для оценки уровня функциональной грамотности, надпрофессиональных и профессиональных компетенций по типу «Флагманы образования».</w:t>
            </w:r>
          </w:p>
        </w:tc>
      </w:tr>
      <w:tr>
        <w:trPr/>
        <w:tc>
          <w:tcPr>
            <w:tcW w:w="3000" w:type="dxa"/>
            <w:vAlign w:val="top"/>
            <w:shd w:val="clear" w:fill="F5F5F5"/>
            <w:noWrap/>
          </w:tcPr>
          <w:p>
            <w:pPr/>
            <w:r>
              <w:rPr/>
              <w:t xml:space="preserve">Средства контроля</w:t>
            </w:r>
          </w:p>
        </w:tc>
        <w:tc>
          <w:tcPr>
            <w:tcW w:w="7000" w:type="dxa"/>
            <w:vAlign w:val="top"/>
            <w:noWrap/>
          </w:tcPr>
          <w:p>
            <w:pPr>
              <w:jc w:val="both"/>
            </w:pPr>
            <w:r>
              <w:rPr>
                <w:sz w:val="24"/>
                <w:szCs w:val="24"/>
              </w:rPr>
              <w:t xml:space="preserve">Обобщение информации по данному этапу на итоговом семинаре,  в том числе в формате онлайн.</w:t>
            </w:r>
          </w:p>
        </w:tc>
      </w:tr>
      <w:tr>
        <w:trPr/>
        <w:tc>
          <w:tcPr>
            <w:tcW w:w="3000" w:type="dxa"/>
            <w:vAlign w:val="top"/>
            <w:shd w:val="clear" w:fill="CD5C5C"/>
            <w:noWrap/>
          </w:tcPr>
          <w:p>
            <w:pPr/>
            <w:r>
              <w:rPr/>
              <w:t xml:space="preserve">Описание процесса контроля и обеспечения достоверности результатов</w:t>
            </w:r>
          </w:p>
        </w:tc>
        <w:tc>
          <w:tcPr>
            <w:tcW w:w="7000" w:type="dxa"/>
            <w:vAlign w:val="top"/>
            <w:noWrap/>
          </w:tcPr>
          <w:p>
            <w:pPr>
              <w:jc w:val="both"/>
            </w:pPr>
            <w:r>
              <w:rPr>
                <w:sz w:val="24"/>
                <w:szCs w:val="24"/>
              </w:rPr>
              <w:t xml:space="preserve">Процесс контроля производился путем анонсирования мероприятий на сайте, путем обратной связи от педагогов.</w:t>
            </w:r>
          </w:p>
        </w:tc>
      </w:tr>
      <w:tr>
        <w:trPr/>
        <w:tc>
          <w:tcPr>
            <w:tcW w:w="3000" w:type="dxa"/>
            <w:vAlign w:val="top"/>
            <w:shd w:val="clear" w:fill="F5F5F5"/>
            <w:noWrap/>
          </w:tcPr>
          <w:p>
            <w:pPr/>
            <w:r>
              <w:rPr/>
              <w:t xml:space="preserve">Перечень разработок по теме проекта</w:t>
            </w:r>
          </w:p>
        </w:tc>
        <w:tc>
          <w:tcPr>
            <w:tcW w:w="7000" w:type="dxa"/>
            <w:vAlign w:val="top"/>
            <w:noWrap/>
          </w:tcPr>
          <w:p>
            <w:pPr>
              <w:jc w:val="both"/>
              <w:spacing w:after="0"/>
            </w:pPr>
            <w:r>
              <w:rPr>
                <w:sz w:val="24"/>
                <w:szCs w:val="24"/>
              </w:rPr>
              <w:t xml:space="preserve">Банк открытых заданий для оценки уровня функциональной грамотности, надпрофессиональных и профессиональных компетенций;
</w:t>
            </w:r>
          </w:p>
          <w:p>
            <w:pPr>
              <w:jc w:val="both"/>
              <w:spacing w:after="0"/>
            </w:pPr>
            <w:r>
              <w:rPr>
                <w:sz w:val="24"/>
                <w:szCs w:val="24"/>
              </w:rPr>
              <w:t xml:space="preserve">Разработка программно-методического обеспечения.</w:t>
            </w:r>
          </w:p>
        </w:tc>
      </w:tr>
      <w:tr>
        <w:trPr/>
        <w:tc>
          <w:tcPr>
            <w:tcW w:w="3000" w:type="dxa"/>
            <w:vAlign w:val="top"/>
            <w:shd w:val="clear" w:fill="F5F5F5"/>
            <w:noWrap/>
          </w:tcPr>
          <w:p>
            <w:pPr/>
            <w:r>
              <w:rPr/>
              <w:t xml:space="preserve">Дополнительная информация</w:t>
            </w:r>
          </w:p>
        </w:tc>
        <w:tc>
          <w:tcPr>
            <w:tcW w:w="7000" w:type="dxa"/>
            <w:vAlign w:val="top"/>
            <w:noWrap/>
          </w:tcPr>
          <w:p>
            <w:pPr>
              <w:jc w:val="both"/>
            </w:pPr>
            <w:r>
              <w:rPr>
                <w:color w:val="696969"/>
                <w:sz w:val="24"/>
                <w:szCs w:val="24"/>
                <w:i w:val="1"/>
                <w:iCs w:val="1"/>
              </w:rPr>
              <w:t xml:space="preserve">Данных нет</w:t>
            </w:r>
          </w:p>
        </w:tc>
      </w:tr>
    </w:tbl>
    <w:p/>
    <w:p>
      <w:pPr>
        <w:jc w:val="left"/>
      </w:pPr>
      <w:r>
        <w:rPr>
          <w:sz w:val="28"/>
          <w:szCs w:val="28"/>
          <w:b w:val="1"/>
          <w:bCs w:val="1"/>
        </w:rPr>
        <w:t xml:space="preserve">Этап 3 - 20.06.2026</w:t>
      </w:r>
    </w:p>
    <w:tbl>
      <w:tblGrid>
        <w:gridCol w:w="3000" w:type="dxa"/>
        <w:gridCol w:w="7000" w:type="dxa"/>
      </w:tblGrid>
      <w:tblPr>
        <w:tblStyle w:val="regipTable"/>
      </w:tblPr>
      <w:tr>
        <w:trPr/>
        <w:tc>
          <w:tcPr>
            <w:tcW w:w="3000" w:type="dxa"/>
            <w:vAlign w:val="top"/>
            <w:shd w:val="clear" w:fill="F5F5F5"/>
            <w:noWrap/>
          </w:tcPr>
          <w:p>
            <w:pPr/>
            <w:r>
              <w:rPr/>
              <w:t xml:space="preserve">Срок реализации (от)</w:t>
            </w:r>
          </w:p>
        </w:tc>
        <w:tc>
          <w:tcPr>
            <w:tcW w:w="7000" w:type="dxa"/>
            <w:vAlign w:val="top"/>
            <w:noWrap/>
          </w:tcPr>
          <w:p>
            <w:pPr>
              <w:jc w:val="both"/>
            </w:pPr>
            <w:r>
              <w:rPr>
                <w:sz w:val="24"/>
                <w:szCs w:val="24"/>
              </w:rPr>
              <w:t xml:space="preserve">21.04.2025</w:t>
            </w:r>
          </w:p>
        </w:tc>
      </w:tr>
      <w:tr>
        <w:trPr/>
        <w:tc>
          <w:tcPr>
            <w:tcW w:w="3000" w:type="dxa"/>
            <w:vAlign w:val="top"/>
            <w:shd w:val="clear" w:fill="F5F5F5"/>
            <w:noWrap/>
          </w:tcPr>
          <w:p>
            <w:pPr/>
            <w:r>
              <w:rPr/>
              <w:t xml:space="preserve">Срок реализации (до)</w:t>
            </w:r>
          </w:p>
        </w:tc>
        <w:tc>
          <w:tcPr>
            <w:tcW w:w="7000" w:type="dxa"/>
            <w:vAlign w:val="top"/>
            <w:noWrap/>
          </w:tcPr>
          <w:p>
            <w:pPr>
              <w:jc w:val="both"/>
            </w:pPr>
            <w:r>
              <w:rPr>
                <w:sz w:val="24"/>
                <w:szCs w:val="24"/>
              </w:rPr>
              <w:t xml:space="preserve">20.06.2026</w:t>
            </w:r>
          </w:p>
        </w:tc>
      </w:tr>
      <w:tr>
        <w:trPr/>
        <w:tc>
          <w:tcPr>
            <w:tcW w:w="3000" w:type="dxa"/>
            <w:vAlign w:val="top"/>
            <w:shd w:val="clear" w:fill="F5F5F5"/>
            <w:noWrap/>
          </w:tcPr>
          <w:p>
            <w:pPr/>
            <w:r>
              <w:rPr/>
              <w:t xml:space="preserve">Содержание и методы деятельности</w:t>
            </w:r>
          </w:p>
        </w:tc>
        <w:tc>
          <w:tcPr>
            <w:tcW w:w="7000" w:type="dxa"/>
            <w:vAlign w:val="top"/>
            <w:noWrap/>
          </w:tcPr>
          <w:p>
            <w:pPr>
              <w:jc w:val="both"/>
              <w:spacing w:after="0"/>
            </w:pPr>
            <w:r>
              <w:rPr>
                <w:sz w:val="24"/>
                <w:szCs w:val="24"/>
              </w:rPr>
              <w:t xml:space="preserve">1.	Организация работы по внедрению методической системы формирования функциональной грамотности педагогов в форме семинаров, участие в научно-практических конференциях разного уровня.
</w:t>
            </w:r>
          </w:p>
          <w:p>
            <w:pPr>
              <w:jc w:val="both"/>
              <w:spacing w:after="0"/>
            </w:pPr>
            <w:r>
              <w:rPr>
                <w:sz w:val="24"/>
                <w:szCs w:val="24"/>
              </w:rPr>
              <w:t xml:space="preserve">2.	Повышение интереса педагогов к надпрофессиональным компетенциям.
</w:t>
            </w:r>
          </w:p>
          <w:p>
            <w:pPr>
              <w:jc w:val="both"/>
              <w:spacing w:after="0"/>
            </w:pPr>
            <w:r>
              <w:rPr>
                <w:sz w:val="24"/>
                <w:szCs w:val="24"/>
              </w:rPr>
              <w:t xml:space="preserve">3.	Комплексная проверка уровня сформированности надрофессиональных компетенций и специальных (профессиональных) знаний педагогов. 
</w:t>
            </w:r>
          </w:p>
          <w:p>
            <w:pPr>
              <w:jc w:val="both"/>
              <w:spacing w:after="0"/>
            </w:pPr>
            <w:r>
              <w:rPr>
                <w:sz w:val="24"/>
                <w:szCs w:val="24"/>
              </w:rPr>
              <w:t xml:space="preserve">4.	Организация и прохождение курсов повышения профессиональной подготовки.  (по необходимости).
</w:t>
            </w:r>
          </w:p>
          <w:p>
            <w:pPr>
              <w:jc w:val="both"/>
              <w:spacing w:after="0"/>
            </w:pPr>
            <w:r>
              <w:rPr>
                <w:sz w:val="24"/>
                <w:szCs w:val="24"/>
              </w:rPr>
              <w:t xml:space="preserve">5.Итоговый семинар по данному этапу проекта в режиме онлайн. + обратная связь. 
</w:t>
            </w:r>
          </w:p>
          <w:p>
            <w:pPr>
              <w:jc w:val="both"/>
              <w:spacing w:after="0"/>
            </w:pPr>
            <w:r>
              <w:rPr>
                <w:sz w:val="24"/>
                <w:szCs w:val="24"/>
              </w:rPr>
              <w:t xml:space="preserve">Методы:
</w:t>
            </w:r>
          </w:p>
          <w:p>
            <w:pPr>
              <w:jc w:val="both"/>
              <w:spacing w:after="0"/>
            </w:pPr>
            <w:r>
              <w:rPr>
                <w:sz w:val="24"/>
                <w:szCs w:val="24"/>
              </w:rPr>
              <w:t xml:space="preserve">Лекции, практические работы, семинар в режиме онлайн.
</w:t>
            </w:r>
          </w:p>
          <w:p>
            <w:pPr>
              <w:jc w:val="both"/>
              <w:spacing w:after="0"/>
            </w:pPr>
            <w:r>
              <w:rPr>
                <w:sz w:val="24"/>
                <w:szCs w:val="24"/>
              </w:rPr>
              <w:t xml:space="preserve">
</w:t>
            </w:r>
          </w:p>
          <w:p>
            <w:pPr>
              <w:jc w:val="both"/>
              <w:spacing w:after="0"/>
            </w:pPr>
            <w:r>
              <w:rPr>
                <w:sz w:val="24"/>
                <w:szCs w:val="24"/>
              </w:rPr>
              <w:t xml:space="preserve">Тестовые работы в онлайн формате</w:t>
            </w:r>
          </w:p>
        </w:tc>
      </w:tr>
      <w:tr>
        <w:trPr/>
        <w:tc>
          <w:tcPr>
            <w:tcW w:w="3000" w:type="dxa"/>
            <w:vAlign w:val="top"/>
            <w:shd w:val="clear" w:fill="F5F5F5"/>
            <w:noWrap/>
          </w:tcPr>
          <w:p>
            <w:pPr/>
            <w:r>
              <w:rPr/>
              <w:t xml:space="preserve">Прогнозируемые результаты (перечень конечной продукции)</w:t>
            </w:r>
          </w:p>
        </w:tc>
        <w:tc>
          <w:tcPr>
            <w:tcW w:w="7000" w:type="dxa"/>
            <w:vAlign w:val="top"/>
            <w:noWrap/>
          </w:tcPr>
          <w:p>
            <w:pPr>
              <w:jc w:val="both"/>
              <w:spacing w:after="0"/>
            </w:pPr>
            <w:r>
              <w:rPr>
                <w:sz w:val="24"/>
                <w:szCs w:val="24"/>
              </w:rPr>
              <w:t xml:space="preserve">Формирование банка методических разработок проекта.
</w:t>
            </w:r>
          </w:p>
          <w:p>
            <w:pPr>
              <w:jc w:val="both"/>
              <w:spacing w:after="0"/>
            </w:pPr>
            <w:r>
              <w:rPr>
                <w:sz w:val="24"/>
                <w:szCs w:val="24"/>
              </w:rPr>
              <w:t xml:space="preserve">Мастер-классы совместно с АОИОО.
</w:t>
            </w:r>
          </w:p>
          <w:p>
            <w:pPr>
              <w:jc w:val="both"/>
              <w:spacing w:after="0"/>
            </w:pPr>
            <w:r>
              <w:rPr>
                <w:sz w:val="24"/>
                <w:szCs w:val="24"/>
              </w:rPr>
              <w:t xml:space="preserve">Диагностика педагогов на уровне региона.</w:t>
            </w:r>
          </w:p>
        </w:tc>
      </w:tr>
      <w:tr>
        <w:trPr/>
        <w:tc>
          <w:tcPr>
            <w:tcW w:w="3000" w:type="dxa"/>
            <w:vAlign w:val="top"/>
            <w:shd w:val="clear" w:fill="CD5C5C"/>
            <w:noWrap/>
          </w:tcPr>
          <w:p>
            <w:pPr/>
            <w:r>
              <w:rPr/>
              <w:t xml:space="preserve">Подробное описание степени достижения результата (конечная продукция)</w:t>
            </w:r>
          </w:p>
        </w:tc>
        <w:tc>
          <w:tcPr>
            <w:tcW w:w="7000" w:type="dxa"/>
            <w:vAlign w:val="top"/>
            <w:noWrap/>
          </w:tcPr>
          <w:p>
            <w:pPr>
              <w:jc w:val="both"/>
              <w:spacing w:after="0"/>
            </w:pPr>
            <w:r>
              <w:rPr>
                <w:sz w:val="24"/>
                <w:szCs w:val="24"/>
              </w:rPr>
              <w:t xml:space="preserve">Третий этап начнет реализацию с 21 апреля 2025 года.
</w:t>
            </w:r>
          </w:p>
          <w:p>
            <w:pPr>
              <w:jc w:val="both"/>
              <w:spacing w:after="0"/>
            </w:pPr>
            <w:r>
              <w:rPr>
                <w:sz w:val="24"/>
                <w:szCs w:val="24"/>
              </w:rPr>
              <w:t xml:space="preserve"> Проведен межрегиональный дорожный семинар педагогов "Функциональная грамотность", где приняли участие 12 человек из 4 городов России.
</w:t>
            </w:r>
          </w:p>
          <w:p>
            <w:pPr>
              <w:jc w:val="both"/>
              <w:spacing w:after="0"/>
            </w:pPr>
            <w:r>
              <w:rPr>
                <w:sz w:val="24"/>
                <w:szCs w:val="24"/>
              </w:rPr>
              <w:t xml:space="preserve">Начали формировать сборник методических разработок по функциональной грамотности.</w:t>
            </w:r>
          </w:p>
        </w:tc>
      </w:tr>
      <w:tr>
        <w:trPr/>
        <w:tc>
          <w:tcPr>
            <w:tcW w:w="3000" w:type="dxa"/>
            <w:vAlign w:val="top"/>
            <w:shd w:val="clear" w:fill="F5F5F5"/>
            <w:noWrap/>
          </w:tcPr>
          <w:p>
            <w:pPr/>
            <w:r>
              <w:rPr/>
              <w:t xml:space="preserve">Условия организации работ</w:t>
            </w:r>
          </w:p>
        </w:tc>
        <w:tc>
          <w:tcPr>
            <w:tcW w:w="7000" w:type="dxa"/>
            <w:vAlign w:val="top"/>
            <w:noWrap/>
          </w:tcPr>
          <w:p>
            <w:pPr>
              <w:jc w:val="both"/>
            </w:pPr>
            <w:r>
              <w:rPr>
                <w:sz w:val="24"/>
                <w:szCs w:val="24"/>
              </w:rPr>
              <w:t xml:space="preserve">Организация ответственными лицами участия педагогов в различных конференциях, семинарах. Соответствующие технические условия для диагностики компетенций педагогов.</w:t>
            </w:r>
          </w:p>
        </w:tc>
      </w:tr>
      <w:tr>
        <w:trPr/>
        <w:tc>
          <w:tcPr>
            <w:tcW w:w="3000" w:type="dxa"/>
            <w:vAlign w:val="top"/>
            <w:shd w:val="clear" w:fill="F5F5F5"/>
            <w:noWrap/>
          </w:tcPr>
          <w:p>
            <w:pPr/>
            <w:r>
              <w:rPr/>
              <w:t xml:space="preserve">Средства контроля</w:t>
            </w:r>
          </w:p>
        </w:tc>
        <w:tc>
          <w:tcPr>
            <w:tcW w:w="7000" w:type="dxa"/>
            <w:vAlign w:val="top"/>
            <w:noWrap/>
          </w:tcPr>
          <w:p>
            <w:pPr>
              <w:jc w:val="both"/>
              <w:spacing w:after="0"/>
            </w:pPr>
            <w:r>
              <w:rPr>
                <w:sz w:val="24"/>
                <w:szCs w:val="24"/>
              </w:rPr>
              <w:t xml:space="preserve">Общая информация по количеству участников и количеству уровней (высокий, средний, низкий) компетенций.
</w:t>
            </w:r>
          </w:p>
          <w:p>
            <w:pPr>
              <w:jc w:val="both"/>
              <w:spacing w:after="0"/>
            </w:pPr>
            <w:r>
              <w:rPr>
                <w:sz w:val="24"/>
                <w:szCs w:val="24"/>
              </w:rPr>
              <w:t xml:space="preserve">Итоговый семинар по данному этапу.</w:t>
            </w:r>
          </w:p>
        </w:tc>
      </w:tr>
      <w:tr>
        <w:trPr/>
        <w:tc>
          <w:tcPr>
            <w:tcW w:w="3000" w:type="dxa"/>
            <w:vAlign w:val="top"/>
            <w:shd w:val="clear" w:fill="CD5C5C"/>
            <w:noWrap/>
          </w:tcPr>
          <w:p>
            <w:pPr/>
            <w:r>
              <w:rPr/>
              <w:t xml:space="preserve">Описание процесса контроля и обеспечения достоверности результатов</w:t>
            </w:r>
          </w:p>
        </w:tc>
        <w:tc>
          <w:tcPr>
            <w:tcW w:w="7000" w:type="dxa"/>
            <w:vAlign w:val="top"/>
            <w:noWrap/>
          </w:tcPr>
          <w:p>
            <w:pPr>
              <w:jc w:val="both"/>
            </w:pPr>
            <w:r>
              <w:rPr>
                <w:sz w:val="24"/>
                <w:szCs w:val="24"/>
              </w:rPr>
              <w:t xml:space="preserve">Контроль обеспечится обратной связью педагогов, итоговым семинаром и работой сайта, размещением сборника методических разработок на сайте fd29.ru</w:t>
            </w:r>
          </w:p>
        </w:tc>
      </w:tr>
      <w:tr>
        <w:trPr/>
        <w:tc>
          <w:tcPr>
            <w:tcW w:w="3000" w:type="dxa"/>
            <w:vAlign w:val="top"/>
            <w:shd w:val="clear" w:fill="F5F5F5"/>
            <w:noWrap/>
          </w:tcPr>
          <w:p>
            <w:pPr/>
            <w:r>
              <w:rPr/>
              <w:t xml:space="preserve">Перечень разработок по теме проекта</w:t>
            </w:r>
          </w:p>
        </w:tc>
        <w:tc>
          <w:tcPr>
            <w:tcW w:w="7000" w:type="dxa"/>
            <w:vAlign w:val="top"/>
            <w:noWrap/>
          </w:tcPr>
          <w:p>
            <w:pPr>
              <w:jc w:val="both"/>
            </w:pPr>
            <w:r>
              <w:rPr>
                <w:sz w:val="24"/>
                <w:szCs w:val="24"/>
              </w:rPr>
              <w:t xml:space="preserve">Банк методических разработок проекта, общие статистические данные по компетенциям педагогов Архангельской области.</w:t>
            </w:r>
          </w:p>
        </w:tc>
      </w:tr>
      <w:tr>
        <w:trPr/>
        <w:tc>
          <w:tcPr>
            <w:tcW w:w="3000" w:type="dxa"/>
            <w:vAlign w:val="top"/>
            <w:shd w:val="clear" w:fill="F5F5F5"/>
            <w:noWrap/>
          </w:tcPr>
          <w:p>
            <w:pPr/>
            <w:r>
              <w:rPr/>
              <w:t xml:space="preserve">Дополнительная информация</w:t>
            </w:r>
          </w:p>
        </w:tc>
        <w:tc>
          <w:tcPr>
            <w:tcW w:w="7000" w:type="dxa"/>
            <w:vAlign w:val="top"/>
            <w:noWrap/>
          </w:tcPr>
          <w:p>
            <w:pPr>
              <w:jc w:val="both"/>
            </w:pPr>
            <w:r>
              <w:rPr>
                <w:color w:val="696969"/>
                <w:sz w:val="24"/>
                <w:szCs w:val="24"/>
                <w:i w:val="1"/>
                <w:iCs w:val="1"/>
              </w:rPr>
              <w:t xml:space="preserve">Данных нет</w:t>
            </w:r>
          </w:p>
        </w:tc>
      </w:tr>
    </w:tbl>
    <w:p/>
    <w:p>
      <w:pPr>
        <w:jc w:val="left"/>
      </w:pPr>
      <w:r>
        <w:rPr>
          <w:sz w:val="28"/>
          <w:szCs w:val="28"/>
          <w:b w:val="1"/>
          <w:bCs w:val="1"/>
        </w:rPr>
        <w:t xml:space="preserve">Этап 4 - 20.12.2026</w:t>
      </w:r>
    </w:p>
    <w:tbl>
      <w:tblGrid>
        <w:gridCol w:w="3000" w:type="dxa"/>
        <w:gridCol w:w="7000" w:type="dxa"/>
      </w:tblGrid>
      <w:tblPr>
        <w:tblStyle w:val="regipTable"/>
      </w:tblPr>
      <w:tr>
        <w:trPr/>
        <w:tc>
          <w:tcPr>
            <w:tcW w:w="3000" w:type="dxa"/>
            <w:vAlign w:val="top"/>
            <w:shd w:val="clear" w:fill="F5F5F5"/>
            <w:noWrap/>
          </w:tcPr>
          <w:p>
            <w:pPr/>
            <w:r>
              <w:rPr/>
              <w:t xml:space="preserve">Срок реализации (от)</w:t>
            </w:r>
          </w:p>
        </w:tc>
        <w:tc>
          <w:tcPr>
            <w:tcW w:w="7000" w:type="dxa"/>
            <w:vAlign w:val="top"/>
            <w:noWrap/>
          </w:tcPr>
          <w:p>
            <w:pPr>
              <w:jc w:val="both"/>
            </w:pPr>
            <w:r>
              <w:rPr>
                <w:sz w:val="24"/>
                <w:szCs w:val="24"/>
              </w:rPr>
              <w:t xml:space="preserve">20.08.2026</w:t>
            </w:r>
          </w:p>
        </w:tc>
      </w:tr>
      <w:tr>
        <w:trPr/>
        <w:tc>
          <w:tcPr>
            <w:tcW w:w="3000" w:type="dxa"/>
            <w:vAlign w:val="top"/>
            <w:shd w:val="clear" w:fill="F5F5F5"/>
            <w:noWrap/>
          </w:tcPr>
          <w:p>
            <w:pPr/>
            <w:r>
              <w:rPr/>
              <w:t xml:space="preserve">Срок реализации (до)</w:t>
            </w:r>
          </w:p>
        </w:tc>
        <w:tc>
          <w:tcPr>
            <w:tcW w:w="7000" w:type="dxa"/>
            <w:vAlign w:val="top"/>
            <w:noWrap/>
          </w:tcPr>
          <w:p>
            <w:pPr>
              <w:jc w:val="both"/>
            </w:pPr>
            <w:r>
              <w:rPr>
                <w:sz w:val="24"/>
                <w:szCs w:val="24"/>
              </w:rPr>
              <w:t xml:space="preserve">20.12.2026</w:t>
            </w:r>
          </w:p>
        </w:tc>
      </w:tr>
      <w:tr>
        <w:trPr/>
        <w:tc>
          <w:tcPr>
            <w:tcW w:w="3000" w:type="dxa"/>
            <w:vAlign w:val="top"/>
            <w:shd w:val="clear" w:fill="F5F5F5"/>
            <w:noWrap/>
          </w:tcPr>
          <w:p>
            <w:pPr/>
            <w:r>
              <w:rPr/>
              <w:t xml:space="preserve">Содержание и методы деятельности</w:t>
            </w:r>
          </w:p>
        </w:tc>
        <w:tc>
          <w:tcPr>
            <w:tcW w:w="7000" w:type="dxa"/>
            <w:vAlign w:val="top"/>
            <w:noWrap/>
          </w:tcPr>
          <w:p>
            <w:pPr>
              <w:jc w:val="both"/>
              <w:spacing w:after="0"/>
            </w:pPr>
            <w:r>
              <w:rPr>
                <w:sz w:val="24"/>
                <w:szCs w:val="24"/>
              </w:rPr>
              <w:t xml:space="preserve">1.	Обобщение результатов проекта.
</w:t>
            </w:r>
          </w:p>
          <w:p>
            <w:pPr>
              <w:jc w:val="both"/>
              <w:spacing w:after="0"/>
            </w:pPr>
            <w:r>
              <w:rPr>
                <w:sz w:val="24"/>
                <w:szCs w:val="24"/>
              </w:rPr>
              <w:t xml:space="preserve">2.	Подготовка публикаций по формированию профессиональных компетенций у   педагогов. 
</w:t>
            </w:r>
          </w:p>
          <w:p>
            <w:pPr>
              <w:jc w:val="both"/>
              <w:spacing w:after="0"/>
            </w:pPr>
            <w:r>
              <w:rPr>
                <w:sz w:val="24"/>
                <w:szCs w:val="24"/>
              </w:rPr>
              <w:t xml:space="preserve">3.	Итоговый научно-практическая конференция. Подведение итогов. Пресс-релиз.
</w:t>
            </w:r>
          </w:p>
          <w:p>
            <w:pPr>
              <w:jc w:val="both"/>
              <w:spacing w:after="0"/>
            </w:pPr>
            <w:r>
              <w:rPr>
                <w:sz w:val="24"/>
                <w:szCs w:val="24"/>
              </w:rPr>
              <w:t xml:space="preserve">Методы:
</w:t>
            </w:r>
          </w:p>
          <w:p>
            <w:pPr>
              <w:jc w:val="both"/>
              <w:spacing w:after="0"/>
            </w:pPr>
            <w:r>
              <w:rPr>
                <w:sz w:val="24"/>
                <w:szCs w:val="24"/>
              </w:rPr>
              <w:t xml:space="preserve">Анализ деятельности.
</w:t>
            </w:r>
          </w:p>
          <w:p>
            <w:pPr>
              <w:jc w:val="both"/>
              <w:spacing w:after="0"/>
            </w:pPr>
            <w:r>
              <w:rPr>
                <w:sz w:val="24"/>
                <w:szCs w:val="24"/>
              </w:rPr>
              <w:t xml:space="preserve">Научно-практическая конференция</w:t>
            </w:r>
          </w:p>
        </w:tc>
      </w:tr>
      <w:tr>
        <w:trPr/>
        <w:tc>
          <w:tcPr>
            <w:tcW w:w="3000" w:type="dxa"/>
            <w:vAlign w:val="top"/>
            <w:shd w:val="clear" w:fill="F5F5F5"/>
            <w:noWrap/>
          </w:tcPr>
          <w:p>
            <w:pPr/>
            <w:r>
              <w:rPr/>
              <w:t xml:space="preserve">Прогнозируемые результаты (перечень конечной продукции)</w:t>
            </w:r>
          </w:p>
        </w:tc>
        <w:tc>
          <w:tcPr>
            <w:tcW w:w="7000" w:type="dxa"/>
            <w:vAlign w:val="top"/>
            <w:noWrap/>
          </w:tcPr>
          <w:p>
            <w:pPr>
              <w:jc w:val="both"/>
              <w:spacing w:after="0"/>
            </w:pPr>
            <w:r>
              <w:rPr>
                <w:sz w:val="24"/>
                <w:szCs w:val="24"/>
              </w:rPr>
              <w:t xml:space="preserve">Получение информации от участников и кураторов проекта.
</w:t>
            </w:r>
          </w:p>
          <w:p>
            <w:pPr>
              <w:jc w:val="both"/>
              <w:spacing w:after="0"/>
            </w:pPr>
            <w:r>
              <w:rPr>
                <w:sz w:val="24"/>
                <w:szCs w:val="24"/>
              </w:rPr>
              <w:t xml:space="preserve">Распространение опыта работы по реализации проекта через СМИ, сайт, социальные сети, оформление сборников методических разработок.
</w:t>
            </w:r>
          </w:p>
          <w:p>
            <w:pPr>
              <w:jc w:val="both"/>
              <w:spacing w:after="0"/>
            </w:pPr>
            <w:r>
              <w:rPr>
                <w:sz w:val="24"/>
                <w:szCs w:val="24"/>
              </w:rPr>
              <w:t xml:space="preserve">Представление результатов работы с педагогами по формированию функциональной грамотности на конференции.</w:t>
            </w:r>
          </w:p>
        </w:tc>
      </w:tr>
      <w:tr>
        <w:trPr/>
        <w:tc>
          <w:tcPr>
            <w:tcW w:w="3000" w:type="dxa"/>
            <w:vAlign w:val="top"/>
            <w:shd w:val="clear" w:fill="CD5C5C"/>
            <w:noWrap/>
          </w:tcPr>
          <w:p>
            <w:pPr/>
            <w:r>
              <w:rPr/>
              <w:t xml:space="preserve">Подробное описание степени достижения результата (конечная продукция)</w:t>
            </w:r>
          </w:p>
        </w:tc>
        <w:tc>
          <w:tcPr>
            <w:tcW w:w="7000" w:type="dxa"/>
            <w:vAlign w:val="top"/>
            <w:noWrap/>
          </w:tcPr>
          <w:p>
            <w:pPr>
              <w:jc w:val="both"/>
            </w:pPr>
            <w:r>
              <w:rPr>
                <w:sz w:val="24"/>
                <w:szCs w:val="24"/>
              </w:rPr>
              <w:t xml:space="preserve">Этот этап вступит в реализацию в августе 2026 года</w:t>
            </w:r>
          </w:p>
        </w:tc>
      </w:tr>
      <w:tr>
        <w:trPr/>
        <w:tc>
          <w:tcPr>
            <w:tcW w:w="3000" w:type="dxa"/>
            <w:vAlign w:val="top"/>
            <w:shd w:val="clear" w:fill="F5F5F5"/>
            <w:noWrap/>
          </w:tcPr>
          <w:p>
            <w:pPr/>
            <w:r>
              <w:rPr/>
              <w:t xml:space="preserve">Условия организации работ</w:t>
            </w:r>
          </w:p>
        </w:tc>
        <w:tc>
          <w:tcPr>
            <w:tcW w:w="7000" w:type="dxa"/>
            <w:vAlign w:val="top"/>
            <w:noWrap/>
          </w:tcPr>
          <w:p>
            <w:pPr>
              <w:jc w:val="both"/>
            </w:pPr>
            <w:r>
              <w:rPr>
                <w:sz w:val="24"/>
                <w:szCs w:val="24"/>
              </w:rPr>
              <w:t xml:space="preserve">Соблюдение по срокам материально-технических условий позволит оформить сборники работ по проекту, представить итоговые результаты на конференции.</w:t>
            </w:r>
          </w:p>
        </w:tc>
      </w:tr>
      <w:tr>
        <w:trPr/>
        <w:tc>
          <w:tcPr>
            <w:tcW w:w="3000" w:type="dxa"/>
            <w:vAlign w:val="top"/>
            <w:shd w:val="clear" w:fill="F5F5F5"/>
            <w:noWrap/>
          </w:tcPr>
          <w:p>
            <w:pPr/>
            <w:r>
              <w:rPr/>
              <w:t xml:space="preserve">Средства контроля</w:t>
            </w:r>
          </w:p>
        </w:tc>
        <w:tc>
          <w:tcPr>
            <w:tcW w:w="7000" w:type="dxa"/>
            <w:vAlign w:val="top"/>
            <w:noWrap/>
          </w:tcPr>
          <w:p>
            <w:pPr>
              <w:jc w:val="both"/>
            </w:pPr>
            <w:r>
              <w:rPr>
                <w:sz w:val="24"/>
                <w:szCs w:val="24"/>
              </w:rPr>
              <w:t xml:space="preserve">Сайт, конференция.</w:t>
            </w:r>
          </w:p>
        </w:tc>
      </w:tr>
      <w:tr>
        <w:trPr/>
        <w:tc>
          <w:tcPr>
            <w:tcW w:w="3000" w:type="dxa"/>
            <w:vAlign w:val="top"/>
            <w:shd w:val="clear" w:fill="CD5C5C"/>
            <w:noWrap/>
          </w:tcPr>
          <w:p>
            <w:pPr/>
            <w:r>
              <w:rPr/>
              <w:t xml:space="preserve">Описание процесса контроля и обеспечения достоверности результатов</w:t>
            </w:r>
          </w:p>
        </w:tc>
        <w:tc>
          <w:tcPr>
            <w:tcW w:w="7000" w:type="dxa"/>
            <w:vAlign w:val="top"/>
            <w:noWrap/>
          </w:tcPr>
          <w:p>
            <w:pPr>
              <w:jc w:val="both"/>
            </w:pPr>
            <w:r>
              <w:rPr>
                <w:sz w:val="24"/>
                <w:szCs w:val="24"/>
              </w:rPr>
              <w:t xml:space="preserve">Контроль обеспечится обратной связью педагогов, итоговым семинаром и работой сайта.</w:t>
            </w:r>
          </w:p>
        </w:tc>
      </w:tr>
      <w:tr>
        <w:trPr/>
        <w:tc>
          <w:tcPr>
            <w:tcW w:w="3000" w:type="dxa"/>
            <w:vAlign w:val="top"/>
            <w:shd w:val="clear" w:fill="F5F5F5"/>
            <w:noWrap/>
          </w:tcPr>
          <w:p>
            <w:pPr/>
            <w:r>
              <w:rPr/>
              <w:t xml:space="preserve">Перечень разработок по теме проекта</w:t>
            </w:r>
          </w:p>
        </w:tc>
        <w:tc>
          <w:tcPr>
            <w:tcW w:w="7000" w:type="dxa"/>
            <w:vAlign w:val="top"/>
            <w:noWrap/>
          </w:tcPr>
          <w:p>
            <w:pPr>
              <w:jc w:val="both"/>
            </w:pPr>
            <w:r>
              <w:rPr>
                <w:sz w:val="24"/>
                <w:szCs w:val="24"/>
              </w:rPr>
              <w:t xml:space="preserve">Публикации  по формированию профессиональных компетенций у   педагогов, плюсы и минусы проекта.</w:t>
            </w:r>
          </w:p>
        </w:tc>
      </w:tr>
      <w:tr>
        <w:trPr/>
        <w:tc>
          <w:tcPr>
            <w:tcW w:w="3000" w:type="dxa"/>
            <w:vAlign w:val="top"/>
            <w:shd w:val="clear" w:fill="F5F5F5"/>
            <w:noWrap/>
          </w:tcPr>
          <w:p>
            <w:pPr/>
            <w:r>
              <w:rPr/>
              <w:t xml:space="preserve">Дополнительная информация</w:t>
            </w:r>
          </w:p>
        </w:tc>
        <w:tc>
          <w:tcPr>
            <w:tcW w:w="7000" w:type="dxa"/>
            <w:vAlign w:val="top"/>
            <w:noWrap/>
          </w:tcPr>
          <w:p>
            <w:pPr>
              <w:jc w:val="both"/>
            </w:pPr>
            <w:r>
              <w:rPr>
                <w:color w:val="696969"/>
                <w:sz w:val="24"/>
                <w:szCs w:val="24"/>
                <w:i w:val="1"/>
                <w:iCs w:val="1"/>
              </w:rPr>
              <w:t xml:space="preserve">Данных нет</w:t>
            </w:r>
          </w:p>
        </w:tc>
      </w:tr>
    </w:tbl>
    <w:p/>
    <w:p>
      <w:pPr>
        <w:jc w:val="left"/>
      </w:pPr>
      <w:r>
        <w:rPr>
          <w:sz w:val="28"/>
          <w:szCs w:val="28"/>
          <w:b w:val="1"/>
          <w:bCs w:val="1"/>
        </w:rPr>
        <w:t xml:space="preserve">Нормативная база</w:t>
      </w:r>
    </w:p>
    <w:p>
      <w:pPr>
        <w:jc w:val="both"/>
        <w:spacing w:after="0"/>
      </w:pPr>
      <w:r>
        <w:rPr>
          <w:sz w:val="24"/>
          <w:szCs w:val="24"/>
        </w:rPr>
        <w:t xml:space="preserve">1.	Государственная программа РФ «Развитие образования» (2018-2025 годы) от 26 декабря 2017 г.;
</w:t>
      </w:r>
    </w:p>
    <w:p>
      <w:pPr>
        <w:jc w:val="both"/>
        <w:spacing w:after="0"/>
      </w:pPr>
      <w:r>
        <w:rPr>
          <w:sz w:val="24"/>
          <w:szCs w:val="24"/>
        </w:rPr>
        <w:t xml:space="preserve">2.	Приказ Министерства Просвещения РФ от 06.05.2019г. № 219 Об утверждении методологии и критериев оценки качества общего образования в ОО»;
</w:t>
      </w:r>
    </w:p>
    <w:p>
      <w:pPr>
        <w:jc w:val="both"/>
        <w:spacing w:after="0"/>
      </w:pPr>
      <w:r>
        <w:rPr>
          <w:sz w:val="24"/>
          <w:szCs w:val="24"/>
        </w:rPr>
        <w:t xml:space="preserve">3.	Письмо Министерства просвещения РФ от 17.09.2021 № 03-1526 О методическом обеспечении работы по повышению функциональной грамотности»;
</w:t>
      </w:r>
    </w:p>
    <w:p>
      <w:pPr>
        <w:jc w:val="both"/>
        <w:spacing w:after="0"/>
      </w:pPr>
      <w:r>
        <w:rPr>
          <w:sz w:val="24"/>
          <w:szCs w:val="24"/>
        </w:rPr>
        <w:t xml:space="preserve">4.	Письмо Министерства просвещения РФ от 26.01.2021 № ТВ-94-04 «Об электронном банке тренировочных заданий по оценке функциональной грамотности»;
</w:t>
      </w:r>
    </w:p>
    <w:p>
      <w:pPr>
        <w:jc w:val="both"/>
        <w:spacing w:after="0"/>
      </w:pPr>
      <w:r>
        <w:rPr>
          <w:sz w:val="24"/>
          <w:szCs w:val="24"/>
        </w:rPr>
        <w:t xml:space="preserve">5.	Письмо Министерства просвещения РФ от 14 сентября 2021 года № 03 – 1510 «Об организации работы по повышению функциональной грамотности»;
</w:t>
      </w:r>
    </w:p>
    <w:p>
      <w:pPr>
        <w:jc w:val="both"/>
        <w:spacing w:after="0"/>
      </w:pPr>
      <w:r>
        <w:rPr>
          <w:sz w:val="24"/>
          <w:szCs w:val="24"/>
        </w:rPr>
        <w:t xml:space="preserve">6.	Распоряжение от 11.10.2023 г. №1814 об утверждении плана научно-методического сопровождения образовательных организаций по формированию и оценке функциональной грамотности ОО Архангельской области в 2023-2024 учебный год.</w:t>
      </w:r>
    </w:p>
    <w:p>
      <w:pPr>
        <w:jc w:val="left"/>
      </w:pPr>
      <w:r>
        <w:rPr>
          <w:sz w:val="28"/>
          <w:szCs w:val="28"/>
          <w:b w:val="1"/>
          <w:bCs w:val="1"/>
        </w:rPr>
        <w:t xml:space="preserve">Предложения по распространению и внедрению результатов в массовую практику</w:t>
      </w:r>
    </w:p>
    <w:p>
      <w:pPr>
        <w:jc w:val="both"/>
      </w:pPr>
      <w:r>
        <w:rPr>
          <w:sz w:val="24"/>
          <w:szCs w:val="24"/>
        </w:rPr>
        <w:t xml:space="preserve">Проект «Развитие функциональной грамотности педагога» будет иметь возможность по распространению и внедрению результатов в СМИ, в том числе на Северной дороге, в социальных сетях.</w:t>
      </w:r>
    </w:p>
    <w:p>
      <w:pPr>
        <w:jc w:val="left"/>
      </w:pPr>
      <w:r>
        <w:rPr>
          <w:sz w:val="28"/>
          <w:szCs w:val="28"/>
          <w:b w:val="1"/>
          <w:bCs w:val="1"/>
          <w:shd w:val="clear" w:fill="CD5C5C"/>
        </w:rPr>
        <w:t xml:space="preserve">Опыт по распространению и внедрению результатов</w:t>
      </w:r>
    </w:p>
    <w:p>
      <w:pPr>
        <w:jc w:val="both"/>
        <w:spacing w:after="0"/>
      </w:pPr>
      <w:r>
        <w:rPr>
          <w:color w:val="8B0000"/>
          <w:sz w:val="24"/>
          <w:szCs w:val="24"/>
        </w:rPr>
        <w:t xml:space="preserve">Информация о проекте распространяется в СМИ Котласа, по Северной железной дороге (в социальных сетях), на сайте fd29.ru
</w:t>
      </w:r>
    </w:p>
    <w:p>
      <w:pPr>
        <w:jc w:val="both"/>
        <w:spacing w:after="0"/>
      </w:pPr>
      <w:r>
        <w:rPr>
          <w:color w:val="8B0000"/>
          <w:sz w:val="24"/>
          <w:szCs w:val="24"/>
        </w:rPr>
        <w:t xml:space="preserve">В социальных сетях города Котласа https://vk.com/wall-201138871_174928 .</w:t>
      </w:r>
    </w:p>
    <w:p>
      <w:pPr>
        <w:jc w:val="left"/>
      </w:pPr>
      <w:r>
        <w:rPr>
          <w:sz w:val="28"/>
          <w:szCs w:val="28"/>
          <w:b w:val="1"/>
          <w:bCs w:val="1"/>
          <w:shd w:val="clear" w:fill="CD5C5C"/>
        </w:rPr>
        <w:t xml:space="preserve">Предложения по дальнейшей диссеминации</w:t>
      </w:r>
    </w:p>
    <w:p>
      <w:pPr>
        <w:jc w:val="both"/>
      </w:pPr>
      <w:r>
        <w:rPr>
          <w:color w:val="8B0000"/>
          <w:sz w:val="24"/>
          <w:szCs w:val="24"/>
        </w:rPr>
        <w:t xml:space="preserve">Распространять информацию о проекте будем также в СМИ Котласа, на сайте, на полигоне Северной железной дороги, а также по окончании проекта создадим сборник заданий по функциональной грамотности и обобщим свой опыт путем написания статей на сайте проекта и анализа результатов. Проанализируем итоги реализации проекта и выступим на тематических конференциях для педагогов.</w:t>
      </w:r>
    </w:p>
    <w:p>
      <w:pPr>
        <w:jc w:val="left"/>
      </w:pPr>
      <w:r>
        <w:rPr>
          <w:sz w:val="28"/>
          <w:szCs w:val="28"/>
          <w:b w:val="1"/>
          <w:bCs w:val="1"/>
        </w:rPr>
        <w:t xml:space="preserve">Обоснование устойчивости результатов проекта</w:t>
      </w:r>
    </w:p>
    <w:p>
      <w:pPr>
        <w:jc w:val="both"/>
        <w:spacing w:after="0"/>
      </w:pPr>
      <w:r>
        <w:rPr>
          <w:sz w:val="24"/>
          <w:szCs w:val="24"/>
        </w:rPr>
        <w:t xml:space="preserve">Проект «Развитие функциональной грамотности педагога» поможет избежать процесса стагнации и профанации в развитии функциональной грамотности обучающихся, а также поможет в развитии педагога в целом и овладении функциональной грамотности через практико-ориентированный подход, в частности.
</w:t>
      </w:r>
    </w:p>
    <w:p>
      <w:pPr>
        <w:jc w:val="both"/>
        <w:spacing w:after="0"/>
      </w:pPr>
      <w:r>
        <w:rPr>
          <w:sz w:val="24"/>
          <w:szCs w:val="24"/>
        </w:rPr>
        <w:t xml:space="preserve">Свое существование проект будет обеспечивать за счет сотрудничества с АОИОО, Комитетом образования, собственных средств. Основные материальные расходы по проекту будут направлены на создание на сайте вкладки «Инновационная площадка» с возможностью регистрации педагогов и наличием у них личных кабинетов, а также тестовые материалы с обработкой. Особенностью проекта является возможность комплексной проверки уровня компетенций педагогов. По окончании проекта планируем перестроить деятельность региональной площадки с учетом помощи молодым специалистам.</w:t>
      </w:r>
    </w:p>
    <w:p>
      <w:pPr>
        <w:jc w:val="left"/>
      </w:pPr>
      <w:r>
        <w:rPr>
          <w:sz w:val="28"/>
          <w:szCs w:val="28"/>
          <w:b w:val="1"/>
          <w:bCs w:val="1"/>
        </w:rPr>
        <w:t xml:space="preserve">Ресурсное обеспечение проекта</w:t>
      </w:r>
    </w:p>
    <w:p>
      <w:pPr>
        <w:jc w:val="both"/>
        <w:spacing w:after="0"/>
      </w:pPr>
      <w:r>
        <w:rPr>
          <w:sz w:val="24"/>
          <w:szCs w:val="24"/>
        </w:rPr>
        <w:t xml:space="preserve">Необходимые условия организации работ:
</w:t>
      </w:r>
    </w:p>
    <w:p>
      <w:pPr>
        <w:jc w:val="both"/>
        <w:spacing w:after="0"/>
      </w:pPr>
      <w:r>
        <w:rPr>
          <w:sz w:val="24"/>
          <w:szCs w:val="24"/>
        </w:rPr>
        <w:t xml:space="preserve">- конференц-зал;
</w:t>
      </w:r>
    </w:p>
    <w:p>
      <w:pPr>
        <w:jc w:val="both"/>
        <w:spacing w:after="0"/>
      </w:pPr>
      <w:r>
        <w:rPr>
          <w:sz w:val="24"/>
          <w:szCs w:val="24"/>
        </w:rPr>
        <w:t xml:space="preserve">- выход в интернет, интерактивные панели;
</w:t>
      </w:r>
    </w:p>
    <w:p>
      <w:pPr>
        <w:jc w:val="both"/>
        <w:spacing w:after="0"/>
      </w:pPr>
      <w:r>
        <w:rPr>
          <w:sz w:val="24"/>
          <w:szCs w:val="24"/>
        </w:rPr>
        <w:t xml:space="preserve">- кадровые условия совместно с педагогами Котласского педагогического колледжа, АОИОО;
</w:t>
      </w:r>
    </w:p>
    <w:p>
      <w:pPr>
        <w:jc w:val="both"/>
        <w:spacing w:after="0"/>
      </w:pPr>
      <w:r>
        <w:rPr>
          <w:sz w:val="24"/>
          <w:szCs w:val="24"/>
        </w:rPr>
        <w:t xml:space="preserve">- цифровое образовательное кольцо;
</w:t>
      </w:r>
    </w:p>
    <w:p>
      <w:pPr>
        <w:jc w:val="both"/>
        <w:spacing w:after="0"/>
      </w:pPr>
      <w:r>
        <w:rPr>
          <w:sz w:val="24"/>
          <w:szCs w:val="24"/>
        </w:rPr>
        <w:t xml:space="preserve">- цифровая лаборатория по биологии и химии.</w:t>
      </w:r>
    </w:p>
    <w:p>
      <w:pPr>
        <w:jc w:val="left"/>
      </w:pPr>
      <w:r>
        <w:rPr>
          <w:sz w:val="28"/>
          <w:szCs w:val="28"/>
          <w:b w:val="1"/>
          <w:bCs w:val="1"/>
          <w:shd w:val="clear" w:fill="CD5C5C"/>
        </w:rPr>
        <w:t xml:space="preserve">Степень использования ресурсов</w:t>
      </w:r>
    </w:p>
    <w:p>
      <w:pPr>
        <w:jc w:val="both"/>
        <w:spacing w:after="0"/>
      </w:pPr>
      <w:r>
        <w:rPr>
          <w:color w:val="8B0000"/>
          <w:sz w:val="24"/>
          <w:szCs w:val="24"/>
        </w:rPr>
        <w:t xml:space="preserve">- конференц-зал был использован для Баттла, а также дважды для конкурса чтецов для педагогов "Сила слова"
</w:t>
      </w:r>
    </w:p>
    <w:p>
      <w:pPr>
        <w:jc w:val="both"/>
        <w:spacing w:after="0"/>
      </w:pPr>
      <w:r>
        <w:rPr>
          <w:color w:val="8B0000"/>
          <w:sz w:val="24"/>
          <w:szCs w:val="24"/>
        </w:rPr>
        <w:t xml:space="preserve">- выход в интернет, интерактивные панели;
</w:t>
      </w:r>
    </w:p>
    <w:p>
      <w:pPr>
        <w:jc w:val="both"/>
        <w:spacing w:after="0"/>
      </w:pPr>
      <w:r>
        <w:rPr>
          <w:color w:val="8B0000"/>
          <w:sz w:val="24"/>
          <w:szCs w:val="24"/>
        </w:rPr>
        <w:t xml:space="preserve">- кадровые условия совместно с педагогами Котласского педагогического колледжа (приняли участие в качестве экспертов в Баттле по функциональной грамотности, дважды в конкурсе чтецов "Сила слова" ), а также в качестве эксперта приняла участие методист Котласского реабилитационного центра для детей с ограниченными возможностями;
</w:t>
      </w:r>
    </w:p>
    <w:p>
      <w:pPr>
        <w:jc w:val="both"/>
        <w:spacing w:after="0"/>
      </w:pPr>
      <w:r>
        <w:rPr>
          <w:color w:val="8B0000"/>
          <w:sz w:val="24"/>
          <w:szCs w:val="24"/>
        </w:rPr>
        <w:t xml:space="preserve">- проведены консультации с сотрудниками  АОИОО.</w:t>
      </w:r>
    </w:p>
    <w:sectPr>
      <w:pgSz w:orient="portrait" w:w="11905.511811023622" w:h="16837.79527559055"/>
      <w:pgMar w:top="567" w:right="850.5" w:bottom="1440" w:left="1701" w:header="720" w:footer="720" w:gutter="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regipTable">
    <w:name w:val="regipTable"/>
    <w:uiPriority w:val="99"/>
    <w:tblPr>
      <w:tblW w:w="0" w:type="auto"/>
      <w:tblLayout w:type="autofit"/>
      <w:tblCellMar>
        <w:top w:w="50" w:type="dxa"/>
        <w:left w:w="50" w:type="dxa"/>
        <w:right w:w="50" w:type="dxa"/>
        <w:bottom w:w="50" w:type="dxa"/>
      </w:tblCellMar>
      <w:tblBorders>
        <w:top w:val="single" w:sz="1" w:color="00000"/>
        <w:left w:val="single" w:sz="1" w:color="00000"/>
        <w:right w:val="single" w:sz="1" w:color="00000"/>
        <w:bottom w:val="single" w:sz="1" w:color="00000"/>
        <w:insideH w:val="single" w:sz="1" w:color="00000"/>
        <w:insideV w:val="single" w:sz="1" w:color="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2026-08-02T12:14:22+03:00</dcterms:created>
  <dcterms:modified xsi:type="dcterms:W3CDTF">2026-08-02T12:14:22+03:00</dcterms:modified>
</cp:coreProperties>
</file>

<file path=docProps/custom.xml><?xml version="1.0" encoding="utf-8"?>
<Properties xmlns="http://schemas.openxmlformats.org/officeDocument/2006/custom-properties" xmlns:vt="http://schemas.openxmlformats.org/officeDocument/2006/docPropsVTypes"/>
</file>